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A98F" w14:textId="2299E280" w:rsidR="00CD6775" w:rsidRDefault="00CD6775" w:rsidP="00CD6775">
      <w:pPr>
        <w:jc w:val="center"/>
        <w:rPr>
          <w:rFonts w:cstheme="minorHAnsi"/>
          <w:sz w:val="32"/>
          <w:szCs w:val="32"/>
          <w:lang w:val="pl-PL"/>
        </w:rPr>
      </w:pPr>
      <w:r w:rsidRPr="00CD6775">
        <w:rPr>
          <w:rFonts w:cstheme="minorHAnsi"/>
          <w:sz w:val="32"/>
          <w:szCs w:val="32"/>
          <w:lang w:val="pl-PL"/>
        </w:rPr>
        <w:t>Opis podejścia Unii Europejskiej do sztucznej inteligencji</w:t>
      </w:r>
    </w:p>
    <w:p w14:paraId="17327EFB" w14:textId="77777777" w:rsidR="00CD6775" w:rsidRDefault="00CD6775" w:rsidP="00CD6775">
      <w:pPr>
        <w:rPr>
          <w:rFonts w:cstheme="minorHAnsi"/>
          <w:sz w:val="32"/>
          <w:szCs w:val="32"/>
          <w:lang w:val="pl-PL"/>
        </w:rPr>
      </w:pPr>
    </w:p>
    <w:p w14:paraId="732C0C3F" w14:textId="27F4F8A1" w:rsidR="00CD6775" w:rsidRDefault="00CE06AF" w:rsidP="00CD6775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Unia Europejska</w:t>
      </w:r>
      <w:r w:rsidR="00CD6775">
        <w:rPr>
          <w:rFonts w:cstheme="minorHAnsi"/>
          <w:sz w:val="24"/>
          <w:szCs w:val="24"/>
          <w:lang w:val="pl-PL"/>
        </w:rPr>
        <w:t xml:space="preserve">, zdając sobie sprawę z ogromnego potencjału, który w tak wielu obszarach ma sztuczna inteligencja, tworzy własne wytyczne wyznaczające strategię rozwoju w tej dziedzinie. Klucz do jej zrozumienia zawarty jest w słowach „Doskonałość i zaufanie”. Pierwsze z nich </w:t>
      </w:r>
      <w:r w:rsidR="00327AEF">
        <w:rPr>
          <w:rFonts w:cstheme="minorHAnsi"/>
          <w:sz w:val="24"/>
          <w:szCs w:val="24"/>
          <w:lang w:val="pl-PL"/>
        </w:rPr>
        <w:t xml:space="preserve">odpowiada za wyznaczenie kierunku rozwoju europejskich gospodarek w dobie AI oraz zwiększanie ich konkurencyjności. Zaufanie natomiast wskazuje na konieczność dbałości o standardy bezpieczeństwa użytkowania sztucznej inteligencji, nacisk na aspekty etyczne i równoległy rozwój ram prawnych, które umożliwią odpowiedzialne korzystanie z wciąż powstających nowych technologii AI.    </w:t>
      </w:r>
      <w:r w:rsidR="00CD6775">
        <w:rPr>
          <w:rFonts w:cstheme="minorHAnsi"/>
          <w:sz w:val="24"/>
          <w:szCs w:val="24"/>
          <w:lang w:val="pl-PL"/>
        </w:rPr>
        <w:t xml:space="preserve"> </w:t>
      </w:r>
    </w:p>
    <w:p w14:paraId="07625251" w14:textId="024CBC41" w:rsidR="009D0707" w:rsidRDefault="009D0707" w:rsidP="00CD6775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Do najważniejszych celów</w:t>
      </w:r>
      <w:r w:rsidR="00CE06AF">
        <w:rPr>
          <w:rFonts w:cstheme="minorHAnsi"/>
          <w:sz w:val="24"/>
          <w:szCs w:val="24"/>
          <w:lang w:val="pl-PL"/>
        </w:rPr>
        <w:t xml:space="preserve"> rozwojowych</w:t>
      </w:r>
      <w:r>
        <w:rPr>
          <w:rFonts w:cstheme="minorHAnsi"/>
          <w:sz w:val="24"/>
          <w:szCs w:val="24"/>
          <w:lang w:val="pl-PL"/>
        </w:rPr>
        <w:t xml:space="preserve"> jakie stawia UE w odniesieniu do sztucznej inteligencji należą:</w:t>
      </w:r>
    </w:p>
    <w:p w14:paraId="28D1A219" w14:textId="2681D72E" w:rsidR="009D0707" w:rsidRDefault="009D0707" w:rsidP="009D07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pl-PL"/>
        </w:rPr>
      </w:pPr>
      <w:r w:rsidRPr="009D0707">
        <w:rPr>
          <w:rFonts w:cstheme="minorHAnsi"/>
          <w:sz w:val="24"/>
          <w:szCs w:val="24"/>
          <w:lang w:val="pl-PL"/>
        </w:rPr>
        <w:t xml:space="preserve">Stworzenie warunków, w których powstające startupy oraz uznani gracze branży technologicznej w Europie mogli uwolnić swój potencjał i wysunąć się na czoło światowego wyścigu w tworzeniu wiarygodnych systemów i aplikacji wykorzystujących AI. </w:t>
      </w:r>
      <w:r w:rsidR="00DA3514">
        <w:rPr>
          <w:rFonts w:cstheme="minorHAnsi"/>
          <w:sz w:val="24"/>
          <w:szCs w:val="24"/>
          <w:lang w:val="pl-PL"/>
        </w:rPr>
        <w:t>Unia opiera się w tej kwestii na narodowych strategiach państw członkowskich i pełni rolę platformy ułatwiającej współpracę oraz przepływ wiedzy i technologii między grupami badawczymi i przemysłami państw członkowskich.</w:t>
      </w:r>
    </w:p>
    <w:p w14:paraId="6B5D3B7A" w14:textId="5C351CFF" w:rsidR="00474E0B" w:rsidRPr="00474E0B" w:rsidRDefault="00474E0B" w:rsidP="00474E0B">
      <w:pPr>
        <w:pStyle w:val="ListParagraph"/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Inicjatywą stymulującą rozwój generatywnej sztucznej inteligencji w strategicznych sektorach gospodarki jest „GenAI4EU”, która promuje rozwój innowacyjnych ekosystemów wspierających współpracę między startupami, przemysłem i sektorem publicznym.</w:t>
      </w:r>
    </w:p>
    <w:p w14:paraId="4C3738C3" w14:textId="158A0954" w:rsidR="009D0707" w:rsidRDefault="00474E0B" w:rsidP="00474E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Utworzenie sieci cyfrowych hubów innowacyjcnych (EDHI) znajdujących się w każdej części wspólnoty. Ich celem jest promowanie użycia AI do zwiększenia konkurencyjności procesów produkcyjnych przez przemysł niezależnie od jego rozmiaru. Działalność hubów ma także obejmować wsparcie procesu wdrażania innowacyjnych rozwiązań w przemyśle.</w:t>
      </w:r>
    </w:p>
    <w:p w14:paraId="417D070F" w14:textId="1489707D" w:rsidR="00474E0B" w:rsidRDefault="00BE5DE8" w:rsidP="00474E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P</w:t>
      </w:r>
      <w:r w:rsidR="00474E0B">
        <w:rPr>
          <w:rFonts w:cstheme="minorHAnsi"/>
          <w:sz w:val="24"/>
          <w:szCs w:val="24"/>
          <w:lang w:val="pl-PL"/>
        </w:rPr>
        <w:t>romocj</w:t>
      </w:r>
      <w:r>
        <w:rPr>
          <w:rFonts w:cstheme="minorHAnsi"/>
          <w:sz w:val="24"/>
          <w:szCs w:val="24"/>
          <w:lang w:val="pl-PL"/>
        </w:rPr>
        <w:t>a</w:t>
      </w:r>
      <w:r w:rsidR="00474E0B">
        <w:rPr>
          <w:rFonts w:cstheme="minorHAnsi"/>
          <w:sz w:val="24"/>
          <w:szCs w:val="24"/>
          <w:lang w:val="pl-PL"/>
        </w:rPr>
        <w:t xml:space="preserve"> podejścia „z laboratorium na rynek”, czyli dążenie do zwiększenia wolumenu badań naukowych w dziedzinie AI. W tym celu zwiększane są fundusze na inwestycje w sztuczną inteligencję, dofinansowania dla centrów innowacyjnych oraz projektów badawczych. </w:t>
      </w:r>
      <w:r>
        <w:rPr>
          <w:rFonts w:cstheme="minorHAnsi"/>
          <w:sz w:val="24"/>
          <w:szCs w:val="24"/>
          <w:lang w:val="pl-PL"/>
        </w:rPr>
        <w:t xml:space="preserve">W ramach programów inwestycyjnych UE przekazuje </w:t>
      </w:r>
      <w:r w:rsidRPr="00CE06AF">
        <w:rPr>
          <w:rFonts w:cstheme="minorHAnsi"/>
          <w:sz w:val="24"/>
          <w:szCs w:val="24"/>
          <w:lang w:val="pl-PL"/>
        </w:rPr>
        <w:t xml:space="preserve">fundusze </w:t>
      </w:r>
      <w:r w:rsidR="00CE06AF" w:rsidRPr="00CE06AF">
        <w:rPr>
          <w:rFonts w:cstheme="minorHAnsi"/>
          <w:sz w:val="24"/>
          <w:szCs w:val="24"/>
          <w:lang w:val="pl-PL"/>
        </w:rPr>
        <w:t>m.in. w ramach planu NextGenerationEU, gdzie instrument RRF (</w:t>
      </w:r>
      <w:r w:rsidR="00CE06AF" w:rsidRPr="00CE06AF">
        <w:rPr>
          <w:rFonts w:cstheme="minorHAnsi"/>
          <w:color w:val="404040"/>
          <w:sz w:val="24"/>
          <w:szCs w:val="24"/>
          <w:lang w:val="pl-PL"/>
        </w:rPr>
        <w:t>Instrument </w:t>
      </w:r>
      <w:r w:rsidR="00CE06AF" w:rsidRPr="00CE06AF">
        <w:rPr>
          <w:rFonts w:cstheme="minorHAnsi"/>
          <w:sz w:val="24"/>
          <w:szCs w:val="24"/>
          <w:lang w:val="pl-PL"/>
        </w:rPr>
        <w:t>na rzecz Odbudowy i Zwiększania</w:t>
      </w:r>
      <w:r w:rsidR="00CE06AF" w:rsidRPr="00CE06AF">
        <w:rPr>
          <w:sz w:val="24"/>
          <w:szCs w:val="24"/>
          <w:lang w:val="pl-PL"/>
        </w:rPr>
        <w:t xml:space="preserve"> Odporności</w:t>
      </w:r>
      <w:r w:rsidR="00CE06AF" w:rsidRPr="00CE06AF">
        <w:rPr>
          <w:rFonts w:cstheme="minorHAnsi"/>
          <w:sz w:val="24"/>
          <w:szCs w:val="24"/>
          <w:lang w:val="pl-PL"/>
        </w:rPr>
        <w:t>)</w:t>
      </w:r>
      <w:r w:rsidR="00CE06AF">
        <w:rPr>
          <w:rFonts w:cstheme="minorHAnsi"/>
          <w:sz w:val="24"/>
          <w:szCs w:val="24"/>
          <w:lang w:val="pl-PL"/>
        </w:rPr>
        <w:t xml:space="preserve"> udostępni 134 mld EUR na technologie cyfrowe. Ponadto środki przekazywane są na realizację programów „Horyzont Europa” i „Cyfrowa Europa” (1 mld EUR rocznie na każdy) oraz </w:t>
      </w:r>
      <w:r>
        <w:rPr>
          <w:rFonts w:cstheme="minorHAnsi"/>
          <w:sz w:val="24"/>
          <w:szCs w:val="24"/>
          <w:lang w:val="pl-PL"/>
        </w:rPr>
        <w:t>stowarzyszeniu ADRA zrzeszające</w:t>
      </w:r>
      <w:r w:rsidR="00CE06AF">
        <w:rPr>
          <w:rFonts w:cstheme="minorHAnsi"/>
          <w:sz w:val="24"/>
          <w:szCs w:val="24"/>
          <w:lang w:val="pl-PL"/>
        </w:rPr>
        <w:t>mu</w:t>
      </w:r>
      <w:r>
        <w:rPr>
          <w:rFonts w:cstheme="minorHAnsi"/>
          <w:sz w:val="24"/>
          <w:szCs w:val="24"/>
          <w:lang w:val="pl-PL"/>
        </w:rPr>
        <w:t xml:space="preserve"> duże konerny technologiczne, organizacje badawcze i startupy. W latach 2021-2027 na ten cel przeznaczone zostanie 2.6 mld E</w:t>
      </w:r>
      <w:r w:rsidR="00CE06AF">
        <w:rPr>
          <w:rFonts w:cstheme="minorHAnsi"/>
          <w:sz w:val="24"/>
          <w:szCs w:val="24"/>
          <w:lang w:val="pl-PL"/>
        </w:rPr>
        <w:t>UR</w:t>
      </w:r>
      <w:r>
        <w:rPr>
          <w:rFonts w:cstheme="minorHAnsi"/>
          <w:sz w:val="24"/>
          <w:szCs w:val="24"/>
          <w:lang w:val="pl-PL"/>
        </w:rPr>
        <w:t xml:space="preserve">. </w:t>
      </w:r>
    </w:p>
    <w:p w14:paraId="7EA19D31" w14:textId="127F0E49" w:rsidR="00CE06AF" w:rsidRDefault="00CE06AF" w:rsidP="00CE06AF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Poza rozwojem UE proponuje również inicjatywy prawne, które mają przyczynić się do budowania wiarygodnej sztucznej inteligencji. Podejście wspólnoty do zaufania w tej dziedzinie wyraża się przez:</w:t>
      </w:r>
    </w:p>
    <w:p w14:paraId="51B49722" w14:textId="036CBE1C" w:rsidR="00474E0B" w:rsidRDefault="00CF3624" w:rsidP="00CF36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lastRenderedPageBreak/>
        <w:t>AI Act – pierwszy dokument prawny dotyczący AI. Określa o</w:t>
      </w:r>
      <w:r w:rsidRPr="00CF3624">
        <w:rPr>
          <w:rFonts w:cstheme="minorHAnsi"/>
          <w:sz w:val="24"/>
          <w:szCs w:val="24"/>
          <w:lang w:val="pl-PL"/>
        </w:rPr>
        <w:t xml:space="preserve">n ryzyka jakie </w:t>
      </w:r>
      <w:r>
        <w:rPr>
          <w:rFonts w:cstheme="minorHAnsi"/>
          <w:sz w:val="24"/>
          <w:szCs w:val="24"/>
          <w:lang w:val="pl-PL"/>
        </w:rPr>
        <w:t>występują w procesie tworzenia aplikacji z wykorzystaniem sztucznej inteligencji, wprowadza pojęcie 4-poziomowej piramidy zagrożeń, która ma pomóc w detekcji ryzyka i jego eliminacji lub minimalizacji. Pozwala ona również priorytetyzować jakie wykorzystania AI są bardziej narażone na nieprawidłości i poddawać je dokładniejszej kontroli.</w:t>
      </w:r>
    </w:p>
    <w:p w14:paraId="2A5BCE98" w14:textId="4F9E7DA9" w:rsidR="00CF3624" w:rsidRDefault="00CF3624" w:rsidP="00CF36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Świadomość, że niezbędne jest tworzenie nowej legislacji ze względu na luki w prawie w odniesieniu do sztucznej inteligencji. M.in. w tym celu powstały ramy odpowiedzialności cywilnej, które dostosowują zasady prawne do rewolucji AI. </w:t>
      </w:r>
    </w:p>
    <w:p w14:paraId="6EAE2730" w14:textId="0A7A2E3F" w:rsidR="00CF3624" w:rsidRPr="00CF3624" w:rsidRDefault="00CF3624" w:rsidP="00CF36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Konieczność nieustannej weryfikacji</w:t>
      </w:r>
      <w:r w:rsidR="00F54A09">
        <w:rPr>
          <w:rFonts w:cstheme="minorHAnsi"/>
          <w:sz w:val="24"/>
          <w:szCs w:val="24"/>
          <w:lang w:val="pl-PL"/>
        </w:rPr>
        <w:t xml:space="preserve"> uchwalonych w przeszłości </w:t>
      </w:r>
      <w:r>
        <w:rPr>
          <w:rFonts w:cstheme="minorHAnsi"/>
          <w:sz w:val="24"/>
          <w:szCs w:val="24"/>
          <w:lang w:val="pl-PL"/>
        </w:rPr>
        <w:t xml:space="preserve">przepisów </w:t>
      </w:r>
      <w:r w:rsidR="00F54A09">
        <w:rPr>
          <w:rFonts w:cstheme="minorHAnsi"/>
          <w:sz w:val="24"/>
          <w:szCs w:val="24"/>
          <w:lang w:val="pl-PL"/>
        </w:rPr>
        <w:t xml:space="preserve">i </w:t>
      </w:r>
      <w:r>
        <w:rPr>
          <w:rFonts w:cstheme="minorHAnsi"/>
          <w:sz w:val="24"/>
          <w:szCs w:val="24"/>
          <w:lang w:val="pl-PL"/>
        </w:rPr>
        <w:t xml:space="preserve">zasad bezpieczeństwa, ponieważ ze względu na </w:t>
      </w:r>
      <w:r w:rsidR="00F54A09">
        <w:rPr>
          <w:rFonts w:cstheme="minorHAnsi"/>
          <w:sz w:val="24"/>
          <w:szCs w:val="24"/>
          <w:lang w:val="pl-PL"/>
        </w:rPr>
        <w:t>ogromny rozwój w tej dziedzinie, ustanowione prawo może wymagać poprawek.</w:t>
      </w:r>
    </w:p>
    <w:p w14:paraId="71A75F1D" w14:textId="77777777" w:rsidR="00474E0B" w:rsidRPr="009D0707" w:rsidRDefault="00474E0B" w:rsidP="009D0707">
      <w:pPr>
        <w:pStyle w:val="ListParagraph"/>
        <w:rPr>
          <w:rFonts w:cstheme="minorHAnsi"/>
          <w:sz w:val="24"/>
          <w:szCs w:val="24"/>
          <w:lang w:val="pl-PL"/>
        </w:rPr>
      </w:pPr>
    </w:p>
    <w:p w14:paraId="4BEF2AB3" w14:textId="6DB511A7" w:rsidR="00CD6775" w:rsidRDefault="00CD6775">
      <w:pPr>
        <w:rPr>
          <w:lang w:val="pl-PL"/>
        </w:rPr>
      </w:pPr>
    </w:p>
    <w:p w14:paraId="3A848F13" w14:textId="77777777" w:rsidR="00CD6775" w:rsidRDefault="00CD6775">
      <w:pPr>
        <w:rPr>
          <w:lang w:val="pl-PL"/>
        </w:rPr>
      </w:pPr>
    </w:p>
    <w:p w14:paraId="415B44F3" w14:textId="77777777" w:rsidR="00CD6775" w:rsidRPr="00CD6775" w:rsidRDefault="00CD6775">
      <w:pPr>
        <w:rPr>
          <w:lang w:val="pl-PL"/>
        </w:rPr>
      </w:pPr>
    </w:p>
    <w:sectPr w:rsidR="00CD6775" w:rsidRPr="00CD6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CEA"/>
    <w:multiLevelType w:val="hybridMultilevel"/>
    <w:tmpl w:val="81D8C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80E"/>
    <w:multiLevelType w:val="hybridMultilevel"/>
    <w:tmpl w:val="5E127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2108">
    <w:abstractNumId w:val="0"/>
  </w:num>
  <w:num w:numId="2" w16cid:durableId="126596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75"/>
    <w:rsid w:val="00327AEF"/>
    <w:rsid w:val="00474E0B"/>
    <w:rsid w:val="009D0707"/>
    <w:rsid w:val="00BD1226"/>
    <w:rsid w:val="00BE5DE8"/>
    <w:rsid w:val="00CD6775"/>
    <w:rsid w:val="00CE06AF"/>
    <w:rsid w:val="00CF3624"/>
    <w:rsid w:val="00DA3514"/>
    <w:rsid w:val="00F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43FF"/>
  <w15:chartTrackingRefBased/>
  <w15:docId w15:val="{93F263A2-D77C-4CF7-B86D-3A684279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7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7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775"/>
    <w:rPr>
      <w:rFonts w:eastAsiaTheme="majorEastAsia" w:cstheme="majorBidi"/>
      <w:noProof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775"/>
    <w:rPr>
      <w:rFonts w:eastAsiaTheme="majorEastAsia" w:cstheme="majorBidi"/>
      <w:i/>
      <w:iCs/>
      <w:noProof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75"/>
    <w:rPr>
      <w:rFonts w:eastAsiaTheme="majorEastAsia" w:cstheme="majorBidi"/>
      <w:noProof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775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775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775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775"/>
    <w:rPr>
      <w:rFonts w:eastAsiaTheme="majorEastAsia" w:cstheme="majorBidi"/>
      <w:noProof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D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7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77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D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775"/>
    <w:rPr>
      <w:i/>
      <w:iCs/>
      <w:noProof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D6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75"/>
    <w:rPr>
      <w:i/>
      <w:iCs/>
      <w:noProof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D67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E0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524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2</cp:revision>
  <dcterms:created xsi:type="dcterms:W3CDTF">2024-03-10T20:47:00Z</dcterms:created>
  <dcterms:modified xsi:type="dcterms:W3CDTF">2024-03-11T18:43:00Z</dcterms:modified>
</cp:coreProperties>
</file>