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1426" w14:textId="130BAF08" w:rsidR="00813415" w:rsidRDefault="00813415" w:rsidP="00813415">
      <w:pPr>
        <w:pStyle w:val="Heading1"/>
      </w:pPr>
      <w:r>
        <w:t>Modeling of Uranium Carbide and Uranium Nitride Fuel Kernels</w:t>
      </w:r>
      <w:r w:rsidR="00472992">
        <w:t xml:space="preserve"> (slides 28-30)</w:t>
      </w:r>
    </w:p>
    <w:p w14:paraId="1D1AEA05" w14:textId="77777777" w:rsidR="00813415" w:rsidRDefault="00813415" w:rsidP="00813415"/>
    <w:p w14:paraId="3F63883C" w14:textId="3F73907C" w:rsidR="00813415" w:rsidRDefault="00813415" w:rsidP="00472992">
      <w:pPr>
        <w:pStyle w:val="ListParagraph"/>
        <w:numPr>
          <w:ilvl w:val="0"/>
          <w:numId w:val="1"/>
        </w:numPr>
        <w:jc w:val="both"/>
      </w:pPr>
      <w:r w:rsidRPr="00813415">
        <w:t>This collaborative project combines advanced experimental characterization and density functional theory (DFT) modeling to study uranium carbide (UC) and uranium nitride (UN) fuel kernels produced for potential use in accident-tolerant TRISO fuels for next-generation, high-temperature reactors.</w:t>
      </w:r>
    </w:p>
    <w:p w14:paraId="6351568B" w14:textId="17245F6A" w:rsidR="00813415" w:rsidRDefault="00726B0E" w:rsidP="00726B0E">
      <w:pPr>
        <w:pStyle w:val="ListParagraph"/>
        <w:numPr>
          <w:ilvl w:val="0"/>
          <w:numId w:val="1"/>
        </w:numPr>
        <w:jc w:val="both"/>
      </w:pPr>
      <w:r w:rsidRPr="00726B0E">
        <w:t>High-resolution synchrotron X-ray scattering at NSLS-II, Brookhaven National Laboratory, and spallation-neutron total scattering using NOMAD at Oak Ridge National Laboratory identified three phases in the UN kernels.</w:t>
      </w:r>
      <w:r>
        <w:t xml:space="preserve"> </w:t>
      </w:r>
      <w:r w:rsidRPr="00726B0E">
        <w:t>Rietveld refinement of the neutron diffraction data yielded 69.6 wt.% UN-1, 25.8 wt.% UN-2, and 4.6 wt.% α-U₂N₃, with lattice parameters of approximately 4.901 and 4.911 Å for UN-1 and UN-2, respectively</w:t>
      </w:r>
      <w:r w:rsidR="006C4747">
        <w:t xml:space="preserve"> (</w:t>
      </w:r>
      <w:r w:rsidR="006C4747" w:rsidRPr="006C4747">
        <w:rPr>
          <w:u w:val="single"/>
        </w:rPr>
        <w:t>slide 29, left figure</w:t>
      </w:r>
      <w:r w:rsidR="006C4747">
        <w:t>)</w:t>
      </w:r>
      <w:r w:rsidRPr="00726B0E">
        <w:t>.</w:t>
      </w:r>
      <w:r>
        <w:t xml:space="preserve"> </w:t>
      </w:r>
      <w:r w:rsidR="00813415">
        <w:t xml:space="preserve">These subphases may arise from differences in the identities or concentrations of impurities incorporated during carbothermic reduction. </w:t>
      </w:r>
    </w:p>
    <w:p w14:paraId="5FB21798" w14:textId="3CD95B80" w:rsidR="00813415" w:rsidRDefault="00C86A31" w:rsidP="00472992">
      <w:pPr>
        <w:pStyle w:val="ListParagraph"/>
        <w:numPr>
          <w:ilvl w:val="0"/>
          <w:numId w:val="1"/>
        </w:numPr>
        <w:jc w:val="both"/>
      </w:pPr>
      <w:r w:rsidRPr="00C86A31">
        <w:t xml:space="preserve">DFT calculations were therefore performed to test whether carbon </w:t>
      </w:r>
      <w:proofErr w:type="gramStart"/>
      <w:r w:rsidRPr="00C86A31">
        <w:t>substitution</w:t>
      </w:r>
      <w:proofErr w:type="gramEnd"/>
      <w:r w:rsidRPr="00C86A31">
        <w:t xml:space="preserve"> on the nitrogen sublattice could independently reproduce the experimentally observed nonlinear relationship between lattice parameter and composition. The calculations reproduced both the magnitude and curvature of the experimental trend</w:t>
      </w:r>
      <w:r w:rsidR="00A2662A">
        <w:t xml:space="preserve"> (</w:t>
      </w:r>
      <w:r w:rsidR="00A2662A" w:rsidRPr="00A2662A">
        <w:rPr>
          <w:u w:val="single"/>
        </w:rPr>
        <w:t>slide 30, top left figure</w:t>
      </w:r>
      <w:r w:rsidR="00A2662A">
        <w:t>)</w:t>
      </w:r>
      <w:r w:rsidRPr="00C86A31">
        <w:t>, supporting carbon substitution as a principal contributor to the expanded UN lattice.</w:t>
      </w:r>
    </w:p>
    <w:p w14:paraId="2129B4F7" w14:textId="38144692" w:rsidR="00813415" w:rsidRDefault="00C86A31" w:rsidP="00472992">
      <w:pPr>
        <w:pStyle w:val="ListParagraph"/>
        <w:numPr>
          <w:ilvl w:val="0"/>
          <w:numId w:val="1"/>
        </w:numPr>
        <w:jc w:val="both"/>
      </w:pPr>
      <w:r w:rsidRPr="00C86A31">
        <w:t xml:space="preserve">Special </w:t>
      </w:r>
      <w:proofErr w:type="spellStart"/>
      <w:r w:rsidRPr="00C86A31">
        <w:t>quasirandom</w:t>
      </w:r>
      <w:proofErr w:type="spellEnd"/>
      <w:r w:rsidRPr="00C86A31">
        <w:t xml:space="preserve"> structures</w:t>
      </w:r>
      <w:r w:rsidR="00A76319">
        <w:t xml:space="preserve"> (SQS)</w:t>
      </w:r>
      <w:r w:rsidRPr="00C86A31">
        <w:t xml:space="preserve">, </w:t>
      </w:r>
      <w:r w:rsidR="00B95B2A" w:rsidRPr="00B95B2A">
        <w:t>which explicitly represent carbon–nitrogen disorder on the anion sublattice</w:t>
      </w:r>
      <w:r w:rsidRPr="00C86A31">
        <w:t xml:space="preserve">, </w:t>
      </w:r>
      <w:r w:rsidR="00B95B2A" w:rsidRPr="00B95B2A">
        <w:t>reproduced the experimentally observed nonlinear composition dependence, whereas the compositionally averaged virtual crystal approximation (VCA) predicted nearly Vegard-like behavior.</w:t>
      </w:r>
      <w:r w:rsidRPr="00C86A31">
        <w:t xml:space="preserve"> The maximum lattice-parameter difference between the methods was approximately 0.2%, indicating that local atomic-environment effects make a small but measurable contribution to the deviation from Vegard’s law.</w:t>
      </w:r>
    </w:p>
    <w:p w14:paraId="47DAD168" w14:textId="18596806" w:rsidR="00D25D66" w:rsidRDefault="00D25D66" w:rsidP="00472992">
      <w:pPr>
        <w:pStyle w:val="ListParagraph"/>
        <w:numPr>
          <w:ilvl w:val="0"/>
          <w:numId w:val="1"/>
        </w:numPr>
        <w:jc w:val="both"/>
      </w:pPr>
      <w:r w:rsidRPr="00D25D66">
        <w:t>Partial radial-distribution-function analysis</w:t>
      </w:r>
      <w:r w:rsidR="00A2662A">
        <w:t xml:space="preserve"> (</w:t>
      </w:r>
      <w:r w:rsidR="00A2662A" w:rsidRPr="00A2662A">
        <w:rPr>
          <w:u w:val="single"/>
        </w:rPr>
        <w:t>slide 30, right figure</w:t>
      </w:r>
      <w:r w:rsidR="00A2662A">
        <w:t>)</w:t>
      </w:r>
      <w:r w:rsidRPr="00D25D66">
        <w:t xml:space="preserve"> attributes the SQS–VCA discrepancy to differences in their representation of local atomic environments. At 50% carbon substitution, an approximately 0.2% shift in the third-neighbor peak positions is observed between the SQS and VCA atomic-pair distributions, consistent with the approximately 0.2% difference in their predicted lattice parameters. This correspondence indicates that the non-Vegard behavior captured by SQS originates from local structural relaxation that is absent from the compositionally averaged VCA.</w:t>
      </w:r>
    </w:p>
    <w:p w14:paraId="5254CE03" w14:textId="17A073C8" w:rsidR="00163482" w:rsidRDefault="00C86A31" w:rsidP="00472992">
      <w:pPr>
        <w:pStyle w:val="ListParagraph"/>
        <w:numPr>
          <w:ilvl w:val="0"/>
          <w:numId w:val="1"/>
        </w:numPr>
        <w:jc w:val="both"/>
      </w:pPr>
      <w:r w:rsidRPr="00C86A31">
        <w:t>Ongoing work will investigate the thermodynamic and structural mechanisms responsible for the formation of UN-1 and UN-2 and determine whether their different lattice parameters arise solely from carbon concentration or also reflect oxygen incorporation, nitrogen vacancies, or other synthesis-dependent effects.</w:t>
      </w:r>
    </w:p>
    <w:sectPr w:rsidR="00163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96D4A"/>
    <w:multiLevelType w:val="hybridMultilevel"/>
    <w:tmpl w:val="8AEE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539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15"/>
    <w:rsid w:val="001147EA"/>
    <w:rsid w:val="00163482"/>
    <w:rsid w:val="00454187"/>
    <w:rsid w:val="00472992"/>
    <w:rsid w:val="006C4747"/>
    <w:rsid w:val="00726B0E"/>
    <w:rsid w:val="007D0BC5"/>
    <w:rsid w:val="00813415"/>
    <w:rsid w:val="00917662"/>
    <w:rsid w:val="00941271"/>
    <w:rsid w:val="009B64AD"/>
    <w:rsid w:val="00A2662A"/>
    <w:rsid w:val="00A76319"/>
    <w:rsid w:val="00B95B2A"/>
    <w:rsid w:val="00C86A31"/>
    <w:rsid w:val="00C97082"/>
    <w:rsid w:val="00CF261F"/>
    <w:rsid w:val="00D25D66"/>
    <w:rsid w:val="00E20EF2"/>
    <w:rsid w:val="00EA6E2F"/>
    <w:rsid w:val="00EC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260B3"/>
  <w15:chartTrackingRefBased/>
  <w15:docId w15:val="{8470DEC5-254B-480D-8212-CC2E96721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7EA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415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15"/>
    <w:rPr>
      <w:rFonts w:asciiTheme="majorBidi" w:eastAsiaTheme="majorEastAsia" w:hAnsiTheme="majorBid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Orvati Movaffagh, Amir</dc:creator>
  <cp:keywords/>
  <dc:description/>
  <cp:lastModifiedBy>Orvati Movaffagh, Amir</cp:lastModifiedBy>
  <cp:revision>10</cp:revision>
  <dcterms:created xsi:type="dcterms:W3CDTF">2026-07-24T14:46:00Z</dcterms:created>
  <dcterms:modified xsi:type="dcterms:W3CDTF">2026-07-27T16:08:00Z</dcterms:modified>
</cp:coreProperties>
</file>