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Calibri" w:cs="Calibri" w:eastAsia="Calibri" w:hAnsi="Calibri"/>
          <w:b/>
          <w:bCs/>
          <w:color w:val="000000"/>
          <w:sz w:val="30"/>
          <w:szCs w:val="30"/>
        </w:rPr>
        <w:t xml:space="preserve">Modeling of Ion Track Formation in CeO₂ with Molecular Dynamics (slides 24–26)</w:t>
      </w:r>
    </w:p>
    <w:p>
      <w:pPr>
        <w:pStyle w:val="Heading2"/>
        <w:spacing w:after="120" w:before="240"/>
      </w:pPr>
      <w:r>
        <w:rPr>
          <w:rFonts w:ascii="Calibri" w:cs="Calibri" w:eastAsia="Calibri" w:hAnsi="Calibri"/>
          <w:b/>
          <w:bCs/>
          <w:color w:val="000000"/>
          <w:sz w:val="26"/>
          <w:szCs w:val="26"/>
        </w:rPr>
        <w:t xml:space="preserve">Slide 24</w:t>
      </w:r>
    </w:p>
    <w:p>
      <w:pPr>
        <w:pStyle w:val="ListParagraph"/>
        <w:numPr>
          <w:ilvl w:val="0"/>
          <w:numId w:val="2"/>
        </w:numPr>
        <w:spacing w:after="120"/>
      </w:pPr>
      <w:r>
        <w:rPr>
          <w:rFonts w:ascii="Calibri" w:cs="Calibri" w:eastAsia="Calibri" w:hAnsi="Calibri"/>
          <w:sz w:val="22"/>
          <w:szCs w:val="22"/>
        </w:rPr>
        <w:t xml:space="preserve">Swift-heavy-ion track formation in CeO₂ was simulated in LAMMPS using two-temperature thermal-spike molecular dynamics (Darkins and Duffy, Computational Materials Science, 2018), in which the energy the ion deposits into the electronic system is transferred to the lattice through electron–phonon coupling, with the atomic interactions described by a classical rigid-ion Buckingham plus Coulomb potential. The figures on slide 24 show a simulated track: cross-sectional and perspective views of the simulation cell colored by local disorder (top right figure) and a close-up of the disordered track region (bottom right figure).</w:t>
      </w:r>
    </w:p>
    <w:p>
      <w:pPr>
        <w:pStyle w:val="ListParagraph"/>
        <w:numPr>
          <w:ilvl w:val="0"/>
          <w:numId w:val="2"/>
        </w:numPr>
        <w:spacing w:after="120"/>
      </w:pPr>
      <w:r>
        <w:rPr>
          <w:rFonts w:ascii="Calibri" w:cs="Calibri" w:eastAsia="Calibri" w:hAnsi="Calibri"/>
          <w:sz w:val="22"/>
          <w:szCs w:val="22"/>
        </w:rPr>
        <w:t xml:space="preserve">These simulations captured thermal disorder, point-defect formation, and local structural rearrangements within the track, but they did not reproduce the chemically realistic track response indicated by experiment, where X-ray absorption spectroscopy shows partial Ce⁴⁺ → Ce³⁺ reduction in swift-heavy-ion-irradiated ceria (C.L. Tracy et al., Nature Communications 6, 6133 (2015)) and neutron total scattering identifies peroxide-type oxygen clusters as the oxidized counterpart of that reduction (R.I. Palomares et al., Journal of Materials Chemistry A, 2017).</w:t>
      </w:r>
    </w:p>
    <w:p>
      <w:pPr>
        <w:pStyle w:val="ListParagraph"/>
        <w:numPr>
          <w:ilvl w:val="0"/>
          <w:numId w:val="2"/>
        </w:numPr>
        <w:spacing w:after="120"/>
      </w:pPr>
      <w:r>
        <w:rPr>
          <w:rFonts w:ascii="Calibri" w:cs="Calibri" w:eastAsia="Calibri" w:hAnsi="Calibri"/>
          <w:sz w:val="22"/>
          <w:szCs w:val="22"/>
        </w:rPr>
        <w:t xml:space="preserve">The core limitation is that a fixed-charge classical potential cannot represent Ce⁴⁺ → Ce³⁺ reduction. Oxygen vacancy formation in ceria leaves two electrons that localize on nearby cerium sites, and this localization changes local bonding, defect energetics, migration barriers, strain, and recovery behavior; none of this is accessible to a potential with immutable ionic charges. This motivates replacing the classical potential with a machine-learned interatomic potential (MLIP) trained on first-principles data.</w:t>
      </w:r>
    </w:p>
    <w:p>
      <w:pPr>
        <w:pStyle w:val="Heading2"/>
        <w:spacing w:after="120" w:before="240"/>
      </w:pPr>
      <w:r>
        <w:rPr>
          <w:rFonts w:ascii="Calibri" w:cs="Calibri" w:eastAsia="Calibri" w:hAnsi="Calibri"/>
          <w:b/>
          <w:bCs/>
          <w:color w:val="000000"/>
          <w:sz w:val="26"/>
          <w:szCs w:val="26"/>
        </w:rPr>
        <w:t xml:space="preserve">Slide 25</w:t>
      </w:r>
    </w:p>
    <w:p>
      <w:pPr>
        <w:pStyle w:val="ListParagraph"/>
        <w:numPr>
          <w:ilvl w:val="0"/>
          <w:numId w:val="2"/>
        </w:numPr>
        <w:spacing w:after="120"/>
      </w:pPr>
      <w:r>
        <w:rPr>
          <w:rFonts w:ascii="Calibri" w:cs="Calibri" w:eastAsia="Calibri" w:hAnsi="Calibri"/>
          <w:sz w:val="22"/>
          <w:szCs w:val="22"/>
        </w:rPr>
        <w:t xml:space="preserve">To carry first-principles accuracy to the track scale, we are training an Allegro MLIP (Musaelian et al., Nature Communications 14, 579 (2023)) on DFT+U energies, forces, and stresses. Allegro learns equivariant features of each atom’s local coordination environment from neighbor graphs (slide 25, right figure, lower panel), so the potential is sensitive to the geometry of the coordination environment rather than to interatomic distances alone. This is what allows it to distinguish the local distortions that accompany Ce³⁺ formation.</w:t>
      </w:r>
    </w:p>
    <w:p>
      <w:pPr>
        <w:pStyle w:val="ListParagraph"/>
        <w:numPr>
          <w:ilvl w:val="0"/>
          <w:numId w:val="2"/>
        </w:numPr>
        <w:spacing w:after="120"/>
      </w:pPr>
      <w:r>
        <w:rPr>
          <w:rFonts w:ascii="Calibri" w:cs="Calibri" w:eastAsia="Calibri" w:hAnsi="Calibri"/>
          <w:sz w:val="22"/>
          <w:szCs w:val="22"/>
        </w:rPr>
        <w:t xml:space="preserve">The workflow (slide 25, right figure) begins from a calibrated, internally consistent VASP DFT+U reference: reference states are computed across the ceria reduction series, ab initio molecular dynamics with DFT+U forces samples finite-temperature snapshots, and the labeled configurations are curated into a dataset (deduplication, balanced coverage across the phases, and train/validation/test splits) before training. Validation combines energy and force errors on held-out sets with checks that the potential reproduces reduced-phase and defect trends.</w:t>
      </w:r>
    </w:p>
    <w:p>
      <w:pPr>
        <w:pStyle w:val="ListParagraph"/>
        <w:numPr>
          <w:ilvl w:val="0"/>
          <w:numId w:val="2"/>
        </w:numPr>
        <w:spacing w:after="120"/>
      </w:pPr>
      <w:r>
        <w:rPr>
          <w:rFonts w:ascii="Calibri" w:cs="Calibri" w:eastAsia="Calibri" w:hAnsi="Calibri"/>
          <w:sz w:val="22"/>
          <w:szCs w:val="22"/>
        </w:rPr>
        <w:t xml:space="preserve">The trained potential makes large-scale two-temperature molecular dynamics in LAMMPS practical: track simulations require on the order of 10⁵–10⁶ atoms evolved over picoseconds to nanoseconds, far beyond the reach of direct first-principles dynamics, while the MLIP retains near-DFT accuracy at a cost comparable to classical MD.</w:t>
      </w:r>
    </w:p>
    <w:p>
      <w:pPr>
        <w:pStyle w:val="Heading2"/>
        <w:spacing w:after="120" w:before="240"/>
      </w:pPr>
      <w:r>
        <w:rPr>
          <w:rFonts w:ascii="Calibri" w:cs="Calibri" w:eastAsia="Calibri" w:hAnsi="Calibri"/>
          <w:b/>
          <w:bCs/>
          <w:color w:val="000000"/>
          <w:sz w:val="26"/>
          <w:szCs w:val="26"/>
        </w:rPr>
        <w:t xml:space="preserve">Slide 26</w:t>
      </w:r>
    </w:p>
    <w:p>
      <w:pPr>
        <w:pStyle w:val="ListParagraph"/>
        <w:numPr>
          <w:ilvl w:val="0"/>
          <w:numId w:val="2"/>
        </w:numPr>
        <w:spacing w:after="120"/>
      </w:pPr>
      <w:r>
        <w:rPr>
          <w:rFonts w:ascii="Calibri" w:cs="Calibri" w:eastAsia="Calibri" w:hAnsi="Calibri"/>
          <w:sz w:val="22"/>
          <w:szCs w:val="22"/>
        </w:rPr>
        <w:t xml:space="preserve">The central challenge of the data generation is that in ceria, oxygen vacancies are coupled to Ce⁴⁺/Ce³⁺ redox changes, so the training data must capture both the atomic distortions and the correct localized Ce 4f electronic states. The projected densities of states on slide 26 (left figures) show the signature of this physics: occupied Ce 4f states appear in the gap of the reduced phases, and these localized electrons are exactly what a fixed-charge description misses.</w:t>
      </w:r>
    </w:p>
    <w:p>
      <w:pPr>
        <w:pStyle w:val="ListParagraph"/>
        <w:numPr>
          <w:ilvl w:val="0"/>
          <w:numId w:val="2"/>
        </w:numPr>
        <w:spacing w:after="120"/>
      </w:pPr>
      <w:r>
        <w:rPr>
          <w:rFonts w:ascii="Calibri" w:cs="Calibri" w:eastAsia="Calibri" w:hAnsi="Calibri"/>
          <w:sz w:val="22"/>
          <w:szCs w:val="22"/>
        </w:rPr>
        <w:t xml:space="preserve">DFT+U describes this physics, but reduced ceria often supports multiple metastable 4f occupation patterns: for a single atomic configuration, the self-consistent cycle can converge to different arrangements of the localized electrons with different energies. Generating reliable labels therefore requires deliberate preparation and verification of the electronic state rather than accepting whichever solution a calculation happens to reach, and this electronic-state control is a central technical focus of the dataset work.</w:t>
      </w:r>
    </w:p>
    <w:p>
      <w:pPr>
        <w:pStyle w:val="ListParagraph"/>
        <w:numPr>
          <w:ilvl w:val="0"/>
          <w:numId w:val="2"/>
        </w:numPr>
        <w:spacing w:after="120"/>
      </w:pPr>
      <w:r>
        <w:rPr>
          <w:rFonts w:ascii="Calibri" w:cs="Calibri" w:eastAsia="Calibri" w:hAnsi="Calibri"/>
          <w:sz w:val="22"/>
          <w:szCs w:val="22"/>
        </w:rPr>
        <w:t xml:space="preserve">Training data are generated across the ceria reduction series CeO₂, Ce₇O₁₂, and Ce₂O₃ (slide 26, right figures), so the potential sees cerium in both oxidation states and oxygen environments ranging from the stoichiometric fluorite lattice to ordered vacancy arrangements. Ab initio molecular dynamics at multiple temperatures samples the anharmonic, non-equilibrium local environments relevant to a thermal spike, and each configuration is labeled with its total energy and atomic forces.</w:t>
      </w:r>
    </w:p>
    <w:p>
      <w:pPr>
        <w:pStyle w:val="ListParagraph"/>
        <w:numPr>
          <w:ilvl w:val="0"/>
          <w:numId w:val="2"/>
        </w:numPr>
        <w:spacing w:after="120"/>
      </w:pPr>
      <w:r>
        <w:rPr>
          <w:rFonts w:ascii="Calibri" w:cs="Calibri" w:eastAsia="Calibri" w:hAnsi="Calibri"/>
          <w:sz w:val="22"/>
          <w:szCs w:val="22"/>
        </w:rPr>
        <w:t xml:space="preserve">Ongoing work focuses on making the reference-data generation robust against the metastability of reduced ceria: bond-distortion-based defect searches locate the ground-state defect and polaron configurations, and the electronic state of each calculation is verified before it enters the dataset. The resulting potential will be used in two-temperature thermal-spike simulations of track formation, validated against measured track sizes and the Ce³⁺ spectroscopic signatures of irradiated ceria.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2026-07-27T21:24:48.945Z</dcterms:created>
  <dcterms:modified xsi:type="dcterms:W3CDTF">2026-07-27T21:24:48.957Z</dcterms:modified>
</cp:coreProperties>
</file>

<file path=docProps/custom.xml><?xml version="1.0" encoding="utf-8"?>
<Properties xmlns="http://schemas.openxmlformats.org/officeDocument/2006/custom-properties" xmlns:vt="http://schemas.openxmlformats.org/officeDocument/2006/docPropsVTypes"/>
</file>