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9D1426" w14:textId="7A33A1D0" w:rsidR="00813415" w:rsidRDefault="00270E46" w:rsidP="00270E46">
      <w:pPr>
        <w:pStyle w:val="Heading1"/>
      </w:pPr>
      <w:r w:rsidRPr="00270E46">
        <w:t>DEF Approach for Defect Phase Diagrams for SHI</w:t>
      </w:r>
      <w:r>
        <w:t xml:space="preserve"> </w:t>
      </w:r>
      <w:r w:rsidR="00472992">
        <w:t xml:space="preserve">(slides </w:t>
      </w:r>
      <w:r>
        <w:t>32</w:t>
      </w:r>
      <w:r w:rsidR="00472992">
        <w:t>-3</w:t>
      </w:r>
      <w:r>
        <w:t>5</w:t>
      </w:r>
      <w:r w:rsidR="00472992">
        <w:t>)</w:t>
      </w:r>
    </w:p>
    <w:p w14:paraId="1D1AEA05" w14:textId="77777777" w:rsidR="00813415" w:rsidRDefault="00813415" w:rsidP="00813415"/>
    <w:p w14:paraId="307AB690" w14:textId="180D89DB" w:rsidR="00270E46" w:rsidRDefault="00270E46" w:rsidP="00270E46">
      <w:pPr>
        <w:pStyle w:val="Heading2"/>
      </w:pPr>
      <w:r>
        <w:t>Slide 32</w:t>
      </w:r>
    </w:p>
    <w:p w14:paraId="14D1ED06" w14:textId="11FDC47D" w:rsidR="00CC007E" w:rsidRDefault="00CC007E" w:rsidP="00C42E4F">
      <w:pPr>
        <w:pStyle w:val="ListParagraph"/>
        <w:numPr>
          <w:ilvl w:val="0"/>
          <w:numId w:val="1"/>
        </w:numPr>
        <w:jc w:val="both"/>
      </w:pPr>
      <w:r w:rsidRPr="00CC007E">
        <w:t xml:space="preserve">In conventional grand-canonical defect calculations, the </w:t>
      </w:r>
      <w:r w:rsidR="00BD37B1">
        <w:t xml:space="preserve">defect </w:t>
      </w:r>
      <w:r w:rsidRPr="00CC007E">
        <w:t>formation energy depends explicitly on the atomic chemical potentials (</w:t>
      </w:r>
      <w:r w:rsidRPr="00B93E0D">
        <w:rPr>
          <w:i/>
          <w:iCs/>
        </w:rPr>
        <w:t>μᵢ</w:t>
      </w:r>
      <w:r w:rsidRPr="00CC007E">
        <w:t>) and Fermi level (</w:t>
      </w:r>
      <w:r w:rsidRPr="00B93E0D">
        <w:rPr>
          <w:i/>
          <w:iCs/>
        </w:rPr>
        <w:t>E</w:t>
      </w:r>
      <w:r>
        <w:rPr>
          <w:vertAlign w:val="subscript"/>
        </w:rPr>
        <w:t>F</w:t>
      </w:r>
      <w:r w:rsidRPr="00CC007E">
        <w:t xml:space="preserve">), representing exchange of atoms and electrons with external reservoirs </w:t>
      </w:r>
      <w:r w:rsidR="00BD37B1">
        <w:t>(</w:t>
      </w:r>
      <w:r w:rsidR="009F29B8">
        <w:t>schematic figure in the top-</w:t>
      </w:r>
      <w:r w:rsidRPr="00CC007E">
        <w:t xml:space="preserve">right panel). In </w:t>
      </w:r>
      <w:proofErr w:type="spellStart"/>
      <w:r w:rsidRPr="00CC007E">
        <w:t>CeO</w:t>
      </w:r>
      <w:proofErr w:type="spellEnd"/>
      <w:r w:rsidRPr="00CC007E">
        <w:t xml:space="preserve">₂, the relative stability and preferred charge states of oxygen vacancies, cerium vacancies, interstitials, and </w:t>
      </w:r>
      <w:proofErr w:type="spellStart"/>
      <w:r w:rsidRPr="00CC007E">
        <w:t>antisites</w:t>
      </w:r>
      <w:proofErr w:type="spellEnd"/>
      <w:r w:rsidRPr="00CC007E">
        <w:t xml:space="preserve"> change with </w:t>
      </w:r>
      <w:r w:rsidRPr="00B93E0D">
        <w:rPr>
          <w:i/>
          <w:iCs/>
        </w:rPr>
        <w:t>E</w:t>
      </w:r>
      <w:r w:rsidRPr="00CC007E">
        <w:rPr>
          <w:vertAlign w:val="subscript"/>
        </w:rPr>
        <w:t>F</w:t>
      </w:r>
      <w:r w:rsidRPr="00CC007E">
        <w:t xml:space="preserve"> and between O-rich and O-poor environments (</w:t>
      </w:r>
      <w:r w:rsidR="009F29B8">
        <w:t xml:space="preserve">defect diagram figures in the </w:t>
      </w:r>
      <w:r w:rsidRPr="00CC007E">
        <w:t>top-</w:t>
      </w:r>
      <w:r w:rsidR="009F29B8">
        <w:t>left</w:t>
      </w:r>
      <w:r w:rsidRPr="00CC007E">
        <w:t xml:space="preserve"> panel). A formation energy reported for one reservoir condition is therefore not directly transferable to another thermodynamic condition.</w:t>
      </w:r>
    </w:p>
    <w:p w14:paraId="4A1885FB" w14:textId="2A66BB2C" w:rsidR="004E0F37" w:rsidRDefault="004E0F37" w:rsidP="00C42E4F">
      <w:pPr>
        <w:pStyle w:val="ListParagraph"/>
        <w:numPr>
          <w:ilvl w:val="0"/>
          <w:numId w:val="1"/>
        </w:numPr>
        <w:jc w:val="both"/>
      </w:pPr>
      <w:r w:rsidRPr="004E0F37">
        <w:t xml:space="preserve">Conventional first-principles defect thermodynamics consequently requires the phase-coexistence chemical potentials and equilibrium Fermi level to be supplied or solved externally for each </w:t>
      </w:r>
      <w:r w:rsidR="000877F6">
        <w:t>thermodynamic state</w:t>
      </w:r>
      <w:r w:rsidRPr="004E0F37">
        <w:t xml:space="preserve">. </w:t>
      </w:r>
    </w:p>
    <w:p w14:paraId="38B9E2A7" w14:textId="603C2462" w:rsidR="004E0F37" w:rsidRDefault="004E0F37" w:rsidP="004E0F37">
      <w:pPr>
        <w:pStyle w:val="Heading2"/>
      </w:pPr>
      <w:r>
        <w:t>Slide 33</w:t>
      </w:r>
    </w:p>
    <w:p w14:paraId="44B5FEAA" w14:textId="221567B2" w:rsidR="004E0F37" w:rsidRPr="004E0F37" w:rsidRDefault="00B93E0D" w:rsidP="00EC5F28">
      <w:pPr>
        <w:pStyle w:val="ListParagraph"/>
        <w:numPr>
          <w:ilvl w:val="0"/>
          <w:numId w:val="1"/>
        </w:numPr>
        <w:jc w:val="both"/>
      </w:pPr>
      <w:r>
        <w:t xml:space="preserve">Alternatively, </w:t>
      </w:r>
      <w:r w:rsidR="004E0F37" w:rsidRPr="004E0F37">
        <w:t>CALPHAD</w:t>
      </w:r>
      <w:r>
        <w:t>,</w:t>
      </w:r>
      <w:r w:rsidR="004E0F37" w:rsidRPr="004E0F37">
        <w:t xml:space="preserve"> </w:t>
      </w:r>
      <w:r w:rsidRPr="00B93E0D">
        <w:t>which represents each phase through an environment-independent Gibbs-energy function</w:t>
      </w:r>
      <w:r w:rsidR="004E0F37" w:rsidRPr="004E0F37">
        <w:t xml:space="preserve"> </w:t>
      </w:r>
      <w:r w:rsidR="004E0F37" w:rsidRPr="00341C12">
        <w:rPr>
          <w:i/>
          <w:iCs/>
        </w:rPr>
        <w:t>G</w:t>
      </w:r>
      <w:r w:rsidR="004E0F37" w:rsidRPr="004E0F37">
        <w:t>(</w:t>
      </w:r>
      <w:proofErr w:type="spellStart"/>
      <w:r w:rsidR="004E0F37" w:rsidRPr="00341C12">
        <w:rPr>
          <w:i/>
          <w:iCs/>
        </w:rPr>
        <w:t>T</w:t>
      </w:r>
      <w:r w:rsidR="004E0F37" w:rsidRPr="004E0F37">
        <w:t>,</w:t>
      </w:r>
      <w:r w:rsidR="004E0F37" w:rsidRPr="00341C12">
        <w:rPr>
          <w:i/>
          <w:iCs/>
        </w:rPr>
        <w:t>P</w:t>
      </w:r>
      <w:r w:rsidR="004E0F37" w:rsidRPr="004E0F37">
        <w:t>,</w:t>
      </w:r>
      <w:r w:rsidR="004E0F37" w:rsidRPr="00341C12">
        <w:rPr>
          <w:i/>
          <w:iCs/>
        </w:rPr>
        <w:t>x</w:t>
      </w:r>
      <w:proofErr w:type="spellEnd"/>
      <w:r w:rsidR="004E0F37" w:rsidRPr="004E0F37">
        <w:t>)</w:t>
      </w:r>
      <w:r>
        <w:t>, offers a foundation for modeling defects</w:t>
      </w:r>
      <w:r w:rsidR="004E0F37" w:rsidRPr="004E0F37">
        <w:t xml:space="preserve">. </w:t>
      </w:r>
      <w:r w:rsidR="00EC5F28">
        <w:t xml:space="preserve">In CALPHAD, </w:t>
      </w:r>
      <w:r w:rsidR="004E0F37" w:rsidRPr="004E0F37">
        <w:t>Gibbs-energy minimization determines phase stability and boundary compositions, while the equivalent common-tangent construction yields the chemical potentials of coexisting phases directly from their Gibbs-energy curves (</w:t>
      </w:r>
      <w:r w:rsidR="00270B70">
        <w:t xml:space="preserve">figure in the </w:t>
      </w:r>
      <w:r w:rsidR="004E0F37" w:rsidRPr="004E0F37">
        <w:t>right panel). A single model can therefore span changes in temperature, pressure, and composition without separately prescribing chemical potentials for every coexistence condition</w:t>
      </w:r>
      <w:r w:rsidR="004E0F37">
        <w:t>.</w:t>
      </w:r>
      <w:r w:rsidR="004E0F37" w:rsidRPr="004E0F37">
        <w:t xml:space="preserve"> </w:t>
      </w:r>
      <w:r w:rsidR="004E0F37">
        <w:t>W</w:t>
      </w:r>
      <w:r w:rsidR="004E0F37" w:rsidRPr="004E0F37">
        <w:t xml:space="preserve">hen electronic degrees of freedom are included, electronic equilibrium and the Fermi level can likewise be incorporated into the </w:t>
      </w:r>
      <w:r w:rsidR="004E0F37">
        <w:t xml:space="preserve">Gibbs energy </w:t>
      </w:r>
      <w:r w:rsidR="004E0F37" w:rsidRPr="004E0F37">
        <w:t>minimization.</w:t>
      </w:r>
    </w:p>
    <w:p w14:paraId="0AADD292" w14:textId="70B31022" w:rsidR="00646ACE" w:rsidRDefault="004E0F37" w:rsidP="009F0E93">
      <w:pPr>
        <w:pStyle w:val="ListParagraph"/>
        <w:numPr>
          <w:ilvl w:val="0"/>
          <w:numId w:val="1"/>
        </w:numPr>
        <w:jc w:val="both"/>
      </w:pPr>
      <w:r w:rsidRPr="004E0F37">
        <w:t xml:space="preserve">The limitation is that conventional CALPHAD/CEF descriptions of defective phases are usually assessed by fitting Gibbs-energy parameters to </w:t>
      </w:r>
      <w:r w:rsidR="00147BED" w:rsidRPr="00147BED">
        <w:t>available experimental and computational data</w:t>
      </w:r>
      <w:r w:rsidR="00147BED">
        <w:t xml:space="preserve"> such as</w:t>
      </w:r>
      <w:r w:rsidRPr="004E0F37">
        <w:t xml:space="preserve"> heat capacities, </w:t>
      </w:r>
      <w:r w:rsidR="00147BED" w:rsidRPr="00147BED">
        <w:t>enthalpies of formation</w:t>
      </w:r>
      <w:r w:rsidRPr="004E0F37">
        <w:t xml:space="preserve">, and </w:t>
      </w:r>
      <w:proofErr w:type="spellStart"/>
      <w:r w:rsidRPr="004E0F37">
        <w:t>nonstoichiometry</w:t>
      </w:r>
      <w:proofErr w:type="spellEnd"/>
      <w:r w:rsidRPr="004E0F37">
        <w:t xml:space="preserve"> data</w:t>
      </w:r>
      <w:r w:rsidR="00371BB1">
        <w:t xml:space="preserve"> (</w:t>
      </w:r>
      <w:r w:rsidR="00270B70">
        <w:t>scattered marks in</w:t>
      </w:r>
      <w:r w:rsidR="00371BB1">
        <w:t xml:space="preserve"> the phase diagram figure in the left panel)</w:t>
      </w:r>
      <w:r w:rsidRPr="004E0F37">
        <w:t xml:space="preserve">. Such information becomes increasingly sparse in multicomponent and chemically complex systems and is especially scarce for point defects, whose identities, charge states, and concentrations are difficult to measure independently. Consequently, assessed CEF defect models have largely been confined to a few binary semiconductors and insulators with well-characterized defects under specific conditions. </w:t>
      </w:r>
    </w:p>
    <w:p w14:paraId="7B626DC2" w14:textId="6A400A45" w:rsidR="00646ACE" w:rsidRDefault="00646ACE" w:rsidP="00646ACE">
      <w:pPr>
        <w:pStyle w:val="Heading2"/>
      </w:pPr>
      <w:r>
        <w:t>Slide 34</w:t>
      </w:r>
    </w:p>
    <w:p w14:paraId="5254CE03" w14:textId="557FFC1E" w:rsidR="00163482" w:rsidRDefault="00646ACE" w:rsidP="00D470FD">
      <w:pPr>
        <w:pStyle w:val="ListParagraph"/>
        <w:numPr>
          <w:ilvl w:val="0"/>
          <w:numId w:val="2"/>
        </w:numPr>
        <w:jc w:val="both"/>
      </w:pPr>
      <w:r w:rsidRPr="00646ACE">
        <w:t xml:space="preserve">The Defect Energy Formalism (DEF) addresses this gap as a dilute-limit, first-principles adaptation of CEF that embeds </w:t>
      </w:r>
      <w:r w:rsidR="00BC4BD8" w:rsidRPr="00BC4BD8">
        <w:t xml:space="preserve">chemical-potential- and equilibrium-Fermi-level-independent </w:t>
      </w:r>
      <w:r w:rsidR="00BC4BD8" w:rsidRPr="00BC4BD8">
        <w:lastRenderedPageBreak/>
        <w:t>absolute defect energies, defined from the energy differences between defective and pristine first-principles supercells,</w:t>
      </w:r>
      <w:r w:rsidRPr="00646ACE">
        <w:t xml:space="preserve"> directly into the Gibbs-energy description of a defective phase</w:t>
      </w:r>
      <w:r w:rsidR="00725D98">
        <w:t xml:space="preserve"> (equations and schematic convex hull figure in the top panel)</w:t>
      </w:r>
      <w:r w:rsidRPr="00646ACE">
        <w:t>.</w:t>
      </w:r>
      <w:r w:rsidR="00BC4BD8">
        <w:t xml:space="preserve"> </w:t>
      </w:r>
      <w:r w:rsidR="009F0E93" w:rsidRPr="009F0E93">
        <w:t>Environmental conditions are then treated self-consistently within CALPHAD, where the phase-coexistence chemical potentials and equilibrium Fermi level emerge as outputs of Gibbs-energy minimization rather than being prescribed as external defect-model inputs.</w:t>
      </w:r>
    </w:p>
    <w:p w14:paraId="5E314F05" w14:textId="4513AAAD" w:rsidR="00D470FD" w:rsidRDefault="00D470FD" w:rsidP="00D470FD">
      <w:pPr>
        <w:pStyle w:val="ListParagraph"/>
        <w:numPr>
          <w:ilvl w:val="0"/>
          <w:numId w:val="2"/>
        </w:numPr>
        <w:jc w:val="both"/>
      </w:pPr>
      <w:r w:rsidRPr="00D470FD">
        <w:t xml:space="preserve">As a representative application, DEF was used to model interstitial, vacancy, and </w:t>
      </w:r>
      <w:proofErr w:type="spellStart"/>
      <w:r w:rsidRPr="00D470FD">
        <w:t>antisite</w:t>
      </w:r>
      <w:proofErr w:type="spellEnd"/>
      <w:r w:rsidRPr="00D470FD">
        <w:t xml:space="preserve"> defects in </w:t>
      </w:r>
      <w:proofErr w:type="spellStart"/>
      <w:r w:rsidRPr="00D470FD">
        <w:t>Mg₂Si</w:t>
      </w:r>
      <w:proofErr w:type="spellEnd"/>
      <w:r w:rsidR="00591B98">
        <w:t xml:space="preserve"> (defect diagram in the bottom-left panel)</w:t>
      </w:r>
      <w:r>
        <w:t xml:space="preserve">. </w:t>
      </w:r>
      <w:r w:rsidRPr="00D470FD">
        <w:t xml:space="preserve">Under DEF’s dilute, noninteracting-defect assumptions, the four-sublattice description of </w:t>
      </w:r>
      <w:proofErr w:type="spellStart"/>
      <w:r w:rsidRPr="00D470FD">
        <w:t>Mg₂Si</w:t>
      </w:r>
      <w:proofErr w:type="spellEnd"/>
      <w:r w:rsidRPr="00D470FD">
        <w:t xml:space="preserve"> requires only 9 independent parameters, compared with 81 independently specified end-member parameters in conventional CEF, substantially reducing model complexity.</w:t>
      </w:r>
      <w:r>
        <w:t xml:space="preserve"> </w:t>
      </w:r>
      <w:r w:rsidRPr="00D470FD">
        <w:t xml:space="preserve">The resulting DEF–CALPHAD model predicts equilibrium defect and charge-carrier concentrations, the equilibrium chemical potentials and Fermi level, and the phase boundaries of nonstoichiometric </w:t>
      </w:r>
      <w:proofErr w:type="spellStart"/>
      <w:r w:rsidRPr="00D470FD">
        <w:t>Mg₂Si</w:t>
      </w:r>
      <w:proofErr w:type="spellEnd"/>
      <w:r w:rsidRPr="00D470FD">
        <w:t xml:space="preserve"> within a single Gibbs-energy description</w:t>
      </w:r>
      <w:r>
        <w:t>.</w:t>
      </w:r>
    </w:p>
    <w:p w14:paraId="6D1EAEAA" w14:textId="3F599B08" w:rsidR="00C15A2C" w:rsidRDefault="00D470FD" w:rsidP="00C15A2C">
      <w:pPr>
        <w:pStyle w:val="ListParagraph"/>
        <w:numPr>
          <w:ilvl w:val="0"/>
          <w:numId w:val="2"/>
        </w:numPr>
        <w:jc w:val="both"/>
      </w:pPr>
      <w:r w:rsidRPr="00D470FD">
        <w:t xml:space="preserve">The same model was subsequently applied to examine defect </w:t>
      </w:r>
      <w:r w:rsidR="00BC4BD8">
        <w:t>concentrations</w:t>
      </w:r>
      <w:r w:rsidRPr="00D470FD">
        <w:t xml:space="preserve"> under alternative metastable phase-coexistence constraints at 1123 K</w:t>
      </w:r>
      <w:r>
        <w:t xml:space="preserve"> (</w:t>
      </w:r>
      <w:r w:rsidR="00751534">
        <w:t>bottom</w:t>
      </w:r>
      <w:r w:rsidRPr="00D470FD">
        <w:t>-center</w:t>
      </w:r>
      <w:r w:rsidR="00751534">
        <w:t xml:space="preserve"> and bottom-right</w:t>
      </w:r>
      <w:r w:rsidRPr="00D470FD">
        <w:t xml:space="preserve"> panel</w:t>
      </w:r>
      <w:r w:rsidR="00751534">
        <w:t>s</w:t>
      </w:r>
      <w:r w:rsidRPr="00D470FD">
        <w:t>).</w:t>
      </w:r>
      <w:r>
        <w:t xml:space="preserve"> </w:t>
      </w:r>
      <w:r w:rsidRPr="00D470FD">
        <w:t>Th</w:t>
      </w:r>
      <w:r>
        <w:t>e</w:t>
      </w:r>
      <w:r w:rsidRPr="00D470FD">
        <w:t xml:space="preserve"> result illustrates th</w:t>
      </w:r>
      <w:r w:rsidR="00751534">
        <w:t>at coexistence</w:t>
      </w:r>
      <w:r w:rsidRPr="00D470FD">
        <w:t xml:space="preserve"> </w:t>
      </w:r>
      <w:r w:rsidR="00751534">
        <w:t xml:space="preserve">condition changes the predicted </w:t>
      </w:r>
      <w:r w:rsidRPr="00D470FD">
        <w:t xml:space="preserve">defect </w:t>
      </w:r>
      <w:r>
        <w:t>concentrations</w:t>
      </w:r>
      <w:r w:rsidR="00751534">
        <w:t xml:space="preserve">. This capability is useful for imposing </w:t>
      </w:r>
      <w:r w:rsidRPr="00D470FD">
        <w:t xml:space="preserve">relevant experimental and processing constraints </w:t>
      </w:r>
      <w:r w:rsidR="00751534">
        <w:t>into</w:t>
      </w:r>
      <w:r w:rsidRPr="00D470FD">
        <w:t xml:space="preserve"> DEF</w:t>
      </w:r>
      <w:r w:rsidR="00751534">
        <w:t xml:space="preserve"> model’s defect and non-stoichiometric phase predictions</w:t>
      </w:r>
      <w:r w:rsidRPr="00D470FD">
        <w:t>.</w:t>
      </w:r>
    </w:p>
    <w:p w14:paraId="46E6B773" w14:textId="194BF1EE" w:rsidR="00C15A2C" w:rsidRDefault="00C15A2C" w:rsidP="00C15A2C">
      <w:pPr>
        <w:pStyle w:val="Heading2"/>
      </w:pPr>
      <w:r>
        <w:t>Slide 35</w:t>
      </w:r>
    </w:p>
    <w:p w14:paraId="7A07A954" w14:textId="12225476" w:rsidR="00C15A2C" w:rsidRDefault="00C15A2C" w:rsidP="00C15A2C">
      <w:pPr>
        <w:pStyle w:val="ListParagraph"/>
        <w:numPr>
          <w:ilvl w:val="0"/>
          <w:numId w:val="3"/>
        </w:numPr>
        <w:jc w:val="both"/>
      </w:pPr>
      <w:r w:rsidRPr="00C15A2C">
        <w:t xml:space="preserve">The objective of this collaborative research is to determine how swift-heavy-ion (SHI) irradiation generates defects in </w:t>
      </w:r>
      <w:proofErr w:type="spellStart"/>
      <w:r w:rsidRPr="00C15A2C">
        <w:t>CeO</w:t>
      </w:r>
      <w:proofErr w:type="spellEnd"/>
      <w:r w:rsidRPr="00C15A2C">
        <w:t xml:space="preserve">₂ and how those defects affect its local structure and phase stability. The project combines intense ion irradiation </w:t>
      </w:r>
      <w:r w:rsidR="00846935">
        <w:t xml:space="preserve">experiments </w:t>
      </w:r>
      <w:r w:rsidRPr="00C15A2C">
        <w:t>at a large accelerator facility (Lang, UTK), ab initio and machine-learning-interatomic-potential molecular dynamics (Ertekin, UIUC), and DEF-based thermodynamic analysis of defective phases (Kadkhodaei, UIC).</w:t>
      </w:r>
    </w:p>
    <w:p w14:paraId="3AE955A6" w14:textId="59D653F1" w:rsidR="00846935" w:rsidRDefault="00846935" w:rsidP="00C15A2C">
      <w:pPr>
        <w:pStyle w:val="ListParagraph"/>
        <w:numPr>
          <w:ilvl w:val="0"/>
          <w:numId w:val="3"/>
        </w:numPr>
        <w:jc w:val="both"/>
      </w:pPr>
      <w:r>
        <w:t xml:space="preserve">Neutron total scattering results (left figure) and atomistic simulations (right figure) will provide insights on the relevant defect configuration under SHI irradiation (and later coupled with pressure extremes) and the input to the DEF thermodynamic model (schematic figure in the bottom panel). </w:t>
      </w:r>
    </w:p>
    <w:p w14:paraId="6D8CDAA4" w14:textId="02B3F182" w:rsidR="00CA0412" w:rsidRPr="005D63E9" w:rsidRDefault="00C15A2C" w:rsidP="005D63E9">
      <w:pPr>
        <w:pStyle w:val="ListParagraph"/>
        <w:numPr>
          <w:ilvl w:val="0"/>
          <w:numId w:val="3"/>
        </w:numPr>
        <w:jc w:val="both"/>
      </w:pPr>
      <w:r w:rsidRPr="00C15A2C">
        <w:t xml:space="preserve">DEF will be extended to high-pressure regimes as a predictive thermodynamic framework for investigating defect formation and distribution under coupled pressure–irradiation extremes. The model will describe the relative stability and concentrations of defects formed along and away from SHI tracks. </w:t>
      </w:r>
      <w:r w:rsidR="00C21369" w:rsidRPr="00C21369">
        <w:t>Although the existing DEF formalism already permits the explicit treatment of defect complexes, this capability will be implemented for the first time in the proposed ceria model through the inclusion of peroxide-type oxygen dimers and oxygen Frenkel pairs</w:t>
      </w:r>
      <w:r w:rsidR="00846935">
        <w:t xml:space="preserve"> (top-left </w:t>
      </w:r>
      <w:proofErr w:type="spellStart"/>
      <w:r w:rsidR="00846935">
        <w:t>figure</w:t>
      </w:r>
      <w:proofErr w:type="spellEnd"/>
      <w:r w:rsidR="00846935">
        <w:t>)</w:t>
      </w:r>
      <w:r w:rsidR="00C21369" w:rsidRPr="00C21369">
        <w:t>. A further extension of DEF will incorporate oxygen-vacancy ordering, enabling the thermodynamic description of locally ordered fluorite-derivative superstructures that depart from the long-range symmetry of the parent fluorite phase.</w:t>
      </w:r>
    </w:p>
    <w:sectPr w:rsidR="00CA0412" w:rsidRPr="005D6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B7E13"/>
    <w:multiLevelType w:val="hybridMultilevel"/>
    <w:tmpl w:val="FCD2B3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296D4A"/>
    <w:multiLevelType w:val="hybridMultilevel"/>
    <w:tmpl w:val="81A4E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630CFA"/>
    <w:multiLevelType w:val="hybridMultilevel"/>
    <w:tmpl w:val="26CA9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95396286">
    <w:abstractNumId w:val="1"/>
  </w:num>
  <w:num w:numId="2" w16cid:durableId="87049036">
    <w:abstractNumId w:val="0"/>
  </w:num>
  <w:num w:numId="3" w16cid:durableId="109197153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15"/>
    <w:rsid w:val="000877F6"/>
    <w:rsid w:val="000C183D"/>
    <w:rsid w:val="001147EA"/>
    <w:rsid w:val="00147BED"/>
    <w:rsid w:val="00163482"/>
    <w:rsid w:val="00176C2E"/>
    <w:rsid w:val="00270B70"/>
    <w:rsid w:val="00270E46"/>
    <w:rsid w:val="00341C12"/>
    <w:rsid w:val="00360B15"/>
    <w:rsid w:val="00371BB1"/>
    <w:rsid w:val="00454187"/>
    <w:rsid w:val="00472992"/>
    <w:rsid w:val="004E0F37"/>
    <w:rsid w:val="00591B98"/>
    <w:rsid w:val="005B33BB"/>
    <w:rsid w:val="005D63E9"/>
    <w:rsid w:val="00646ACE"/>
    <w:rsid w:val="00725D98"/>
    <w:rsid w:val="00726B0E"/>
    <w:rsid w:val="00751534"/>
    <w:rsid w:val="00813415"/>
    <w:rsid w:val="00846935"/>
    <w:rsid w:val="008D5DC8"/>
    <w:rsid w:val="00917662"/>
    <w:rsid w:val="00941271"/>
    <w:rsid w:val="009B29D7"/>
    <w:rsid w:val="009B64AD"/>
    <w:rsid w:val="009F0E93"/>
    <w:rsid w:val="009F29B8"/>
    <w:rsid w:val="00A76319"/>
    <w:rsid w:val="00B93E0D"/>
    <w:rsid w:val="00B95B2A"/>
    <w:rsid w:val="00BC4BD8"/>
    <w:rsid w:val="00BD37B1"/>
    <w:rsid w:val="00C15A2C"/>
    <w:rsid w:val="00C21369"/>
    <w:rsid w:val="00C42E4F"/>
    <w:rsid w:val="00C86A31"/>
    <w:rsid w:val="00C97082"/>
    <w:rsid w:val="00CA0412"/>
    <w:rsid w:val="00CC007E"/>
    <w:rsid w:val="00CF261F"/>
    <w:rsid w:val="00D25D66"/>
    <w:rsid w:val="00D470FD"/>
    <w:rsid w:val="00E20EF2"/>
    <w:rsid w:val="00EA6E2F"/>
    <w:rsid w:val="00EC031F"/>
    <w:rsid w:val="00EC5F28"/>
    <w:rsid w:val="00F907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260B3"/>
  <w15:chartTrackingRefBased/>
  <w15:docId w15:val="{8470DEC5-254B-480D-8212-CC2E9672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7EA"/>
    <w:rPr>
      <w:rFonts w:asciiTheme="majorBidi" w:hAnsiTheme="majorBidi"/>
    </w:rPr>
  </w:style>
  <w:style w:type="paragraph" w:styleId="Heading1">
    <w:name w:val="heading 1"/>
    <w:basedOn w:val="Normal"/>
    <w:next w:val="Normal"/>
    <w:link w:val="Heading1Char"/>
    <w:uiPriority w:val="9"/>
    <w:qFormat/>
    <w:rsid w:val="00813415"/>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70E46"/>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813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415"/>
    <w:rPr>
      <w:rFonts w:asciiTheme="majorBidi" w:eastAsiaTheme="majorEastAsia" w:hAnsiTheme="majorBidi" w:cstheme="majorBidi"/>
      <w:b/>
      <w:sz w:val="32"/>
      <w:szCs w:val="40"/>
    </w:rPr>
  </w:style>
  <w:style w:type="character" w:customStyle="1" w:styleId="Heading2Char">
    <w:name w:val="Heading 2 Char"/>
    <w:basedOn w:val="DefaultParagraphFont"/>
    <w:link w:val="Heading2"/>
    <w:uiPriority w:val="9"/>
    <w:rsid w:val="00270E46"/>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semiHidden/>
    <w:rsid w:val="00813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415"/>
    <w:rPr>
      <w:rFonts w:eastAsiaTheme="majorEastAsia" w:cstheme="majorBidi"/>
      <w:color w:val="272727" w:themeColor="text1" w:themeTint="D8"/>
    </w:rPr>
  </w:style>
  <w:style w:type="paragraph" w:styleId="Title">
    <w:name w:val="Title"/>
    <w:basedOn w:val="Normal"/>
    <w:next w:val="Normal"/>
    <w:link w:val="TitleChar"/>
    <w:uiPriority w:val="10"/>
    <w:qFormat/>
    <w:rsid w:val="00813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415"/>
    <w:pPr>
      <w:spacing w:before="160"/>
      <w:jc w:val="center"/>
    </w:pPr>
    <w:rPr>
      <w:i/>
      <w:iCs/>
      <w:color w:val="404040" w:themeColor="text1" w:themeTint="BF"/>
    </w:rPr>
  </w:style>
  <w:style w:type="character" w:customStyle="1" w:styleId="QuoteChar">
    <w:name w:val="Quote Char"/>
    <w:basedOn w:val="DefaultParagraphFont"/>
    <w:link w:val="Quote"/>
    <w:uiPriority w:val="29"/>
    <w:rsid w:val="00813415"/>
    <w:rPr>
      <w:i/>
      <w:iCs/>
      <w:color w:val="404040" w:themeColor="text1" w:themeTint="BF"/>
    </w:rPr>
  </w:style>
  <w:style w:type="paragraph" w:styleId="ListParagraph">
    <w:name w:val="List Paragraph"/>
    <w:basedOn w:val="Normal"/>
    <w:uiPriority w:val="34"/>
    <w:qFormat/>
    <w:rsid w:val="00813415"/>
    <w:pPr>
      <w:ind w:left="720"/>
      <w:contextualSpacing/>
    </w:pPr>
  </w:style>
  <w:style w:type="character" w:styleId="IntenseEmphasis">
    <w:name w:val="Intense Emphasis"/>
    <w:basedOn w:val="DefaultParagraphFont"/>
    <w:uiPriority w:val="21"/>
    <w:qFormat/>
    <w:rsid w:val="00813415"/>
    <w:rPr>
      <w:i/>
      <w:iCs/>
      <w:color w:val="0F4761" w:themeColor="accent1" w:themeShade="BF"/>
    </w:rPr>
  </w:style>
  <w:style w:type="paragraph" w:styleId="IntenseQuote">
    <w:name w:val="Intense Quote"/>
    <w:basedOn w:val="Normal"/>
    <w:next w:val="Normal"/>
    <w:link w:val="IntenseQuoteChar"/>
    <w:uiPriority w:val="30"/>
    <w:qFormat/>
    <w:rsid w:val="00813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415"/>
    <w:rPr>
      <w:i/>
      <w:iCs/>
      <w:color w:val="0F4761" w:themeColor="accent1" w:themeShade="BF"/>
    </w:rPr>
  </w:style>
  <w:style w:type="character" w:styleId="IntenseReference">
    <w:name w:val="Intense Reference"/>
    <w:basedOn w:val="DefaultParagraphFont"/>
    <w:uiPriority w:val="32"/>
    <w:qFormat/>
    <w:rsid w:val="00813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960</Words>
  <Characters>4812</Characters>
  <Application>Microsoft Office Word</Application>
  <DocSecurity>0</DocSecurity>
  <Lines>130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Orvati Movaffagh, Amir</dc:creator>
  <cp:keywords/>
  <dc:description/>
  <cp:lastModifiedBy>Kadkhodaei, Sara</cp:lastModifiedBy>
  <cp:revision>30</cp:revision>
  <dcterms:created xsi:type="dcterms:W3CDTF">2026-07-25T04:50:00Z</dcterms:created>
  <dcterms:modified xsi:type="dcterms:W3CDTF">2026-07-27T15:52:00Z</dcterms:modified>
</cp:coreProperties>
</file>