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ind w:right="0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Guayaquil,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{fecha}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Señores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ind w:right="0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{empresa}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ind w:right="0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{representante}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Ciudad. –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De nuestras consideraciones: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Por la presente le informamos nuestro interés de continuar proveyéndole Amoniaco Gas (en adelante el “Producto”)  en presentación de {tamano}kg en cilindros metálicos  retornables  (en adelante los “Envases y/o Cilindros”)  de  propiedad de 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Brenntag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y que en forma accesoria a la venta del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Producto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se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da en comodato a sus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Clientes,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formalizando este mecanismo mediante la aceptación de los siguientes términos y condiciones: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ind w:right="0"/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ind w:right="0"/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Brenntag es propietaria de los envases o cilindros retornables para el transporte y uso del producto que ésta comercializa. 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ind w:right="0"/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280" w:before="280" w:lineRule="auto"/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2.-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Brenntag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, en forma accesoria a la venta de los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Productos,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da en comodato a sus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Clientes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, en las cantidades, tipos, formatos y capacidad detallados en la respectiva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Factura,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emitida para tales efectos (en adelante, la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“Factura”)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. La sola recepción de dicha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Factura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o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en el establecimiento comercial o bodega del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implica la recepción de los mismos a entera satisfacción del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Cliente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, en perfecto estado de conservación y calidad, debiendo el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restituirlos en igual cantidad, tipo, formato y capacidad, en las condiciones y forma señalados en este instrumento al solo requerimiento de Brenntag.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ind w:right="0"/>
            <w:jc w:val="both"/>
            <w:rPr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Brenntag autoriza al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para utilizar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exclusivamente para su uso propio. y, en el caso de distribuidores para la venta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Productos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a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consumidores finales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se obliga a prestar el mayor cuidado y diligencia en la conservación, cuidado e integridad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detallados en el Anexo 1.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Brenntag se reserva el derecho de terminar el comodato en cualquier momento, así como la facultad de solicitar al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en cualquier momento, que suministre evidencia suficiente de la existencia material y condición de los bienes. 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no podrá́ ceder ni dar en arrendamiento o préstamo ni ceder la mera tenencia, a cualquier título, de todo o parte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como tampoco podrá́ enajenarlos o gravarlos de forma alguna. En caso que terceros intenten trabar embargo sobre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deberá́ defender la titulariad de la propiedad de la comodate,  informando a quien corresponda la circunstancia de pertenecer éstos a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Brenntag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así como informar inmediatamente a la comodante de lo ocurrido.  En caso que 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perdiera la posesión y/o tenencia de todo o parte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deberá́ indemnizar a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 Brenntag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en el valor de los mismos, de acuerdo al precio de mercado, el cual se fija en la suma de </w:t>
          </w:r>
          <w:r w:rsidDel="00000000" w:rsidR="00000000" w:rsidRPr="00000000">
            <w:rPr>
              <w:b w:val="1"/>
              <w:sz w:val="24"/>
              <w:szCs w:val="24"/>
              <w:highlight w:val="yellow"/>
              <w:rtl w:val="0"/>
            </w:rPr>
            <w:t xml:space="preserve">US$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{costo},00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(Cuatrocientos Sesenta y Cinco 00/100 Dólares americanos)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cada unidad. 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8.-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La devolución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deberá realizarse mediante su entrega material en las instalaciones de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Brenntag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en un plazo máximo de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{dias} días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hábiles contados a partir de su requerimiento.  Una vez receptados los bienes, Brenntag tendrá un plazo de 30 días hábiles contados a partir de la fecha de la devolución, para constatar la cantidad y el estado de conservación de los mismos, pudiendo rechazar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que a su juicio no se encuentren en iguales condiciones a las que fueron entregados; para lo cual se le exigirá al Cliente su reparación integral, o la reposición si fuera el caso, caso contrario, Brenntag podrá ejecutar en todo o en parte la garantía entregada por el Cliente. 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9.-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La sola recepción de la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Factura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y de los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Envases y/o Cilindros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en el establecimiento comercial o bodega del </w:t>
          </w:r>
          <w:r w:rsidDel="00000000" w:rsidR="00000000" w:rsidRPr="00000000">
            <w:rPr>
              <w:i w:val="1"/>
              <w:sz w:val="24"/>
              <w:szCs w:val="24"/>
              <w:rtl w:val="0"/>
            </w:rPr>
            <w:t xml:space="preserve">Cliente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, implicará para todos los efectos legales, la aceptación del Comodato de los que da cuenta este instrumento, la total aceptación de los términos y estipulaciones de los mismos y de sus respectivos efectos. 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Reiterándoles nuestros sentimientos de consideración y estima, suscribe muy atentamente, 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BRENNTAG 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Impuesto del contenido y efectos de la comunicación que antecede, suscribo en esta misma fecha, por los derechos que represento del CLIENTE,  en señal de aceptación y conformidad. 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Lugar y Fecha: {fecha}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Nombre: {representante} 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Cargo: Compras 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ind w:right="0"/>
            <w:jc w:val="both"/>
            <w:rPr>
              <w:b w:val="1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Denominación o razón Social: {empresa}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RUC: {ruc}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ind w:right="0" w:firstLine="706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ind w:right="0" w:firstLine="706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ind w:right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ind w:right="0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u w:val="single"/>
              <w:rtl w:val="0"/>
            </w:rPr>
            <w:t xml:space="preserve">ANEXO 1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5"/>
        <w:gridCol w:w="1625"/>
        <w:gridCol w:w="1625"/>
        <w:gridCol w:w="1684"/>
        <w:gridCol w:w="1935"/>
        <w:tblGridChange w:id="0">
          <w:tblGrid>
            <w:gridCol w:w="1625"/>
            <w:gridCol w:w="1625"/>
            <w:gridCol w:w="1625"/>
            <w:gridCol w:w="1684"/>
            <w:gridCol w:w="1935"/>
          </w:tblGrid>
        </w:tblGridChange>
      </w:tblGrid>
      <w:tr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Código Cilindro</w:t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SERIE</w:t>
                </w:r>
              </w:p>
            </w:sdtContent>
          </w:sdt>
        </w:tc>
      </w:tr>
      <w:tr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{#empaques} {codigo}</w:t>
                </w:r>
              </w:p>
            </w:sdtContent>
          </w:sdt>
        </w:tc>
        <w:tc>
          <w:tcPr>
            <w:tcBorders>
              <w:right w:color="000000" w:space="0" w:sz="4" w:val="single"/>
            </w:tcBorders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{serie}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{/empaques}</w:t>
                </w:r>
              </w:p>
            </w:sdtContent>
          </w:sdt>
        </w:tc>
      </w:tr>
    </w:tbl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ind w:right="0"/>
            <w:jc w:val="both"/>
            <w:rPr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sz w:val="24"/>
              <w:szCs w:val="24"/>
              <w:rtl w:val="0"/>
            </w:rPr>
            <w:t xml:space="preserve">Total Cilindros entregados: {cantidad_empaques}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Lugar y Fecha: {fecha}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Nombre: {representante} 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Cargo: Compras 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jc w:val="both"/>
            <w:rPr>
              <w:b w:val="1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Denominación o razón Social: {empresa}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RUC: {ruc}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ind w:right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Time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0"/>
    </w:sdtPr>
    <w:sdtContent>
      <w:p w:rsidR="00000000" w:rsidDel="00000000" w:rsidP="00000000" w:rsidRDefault="00000000" w:rsidRPr="00000000" w14:paraId="0000005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ffffff" w:val="clear"/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18"/>
            <w:szCs w:val="18"/>
            <w:u w:val="none"/>
            <w:shd w:fill="auto" w:val="clear"/>
            <w:vertAlign w:val="baseline"/>
            <w:rtl w:val="0"/>
          </w:rPr>
          <w:t xml:space="preserve">Vía Daule, Km 9.5. </w:t>
          <w:tab/>
          <w:tab/>
          <w:tab/>
          <w:t xml:space="preserve">Guayaquil</w:t>
          <w:tab/>
          <w:tab/>
          <w:tab/>
          <w:t xml:space="preserve">Teléf.: 602 3200 </w:t>
        </w:r>
      </w:p>
    </w:sdtContent>
  </w:sdt>
  <w:sdt>
    <w:sdtPr>
      <w:tag w:val="goog_rdk_81"/>
    </w:sdtPr>
    <w:sdtContent>
      <w:p w:rsidR="00000000" w:rsidDel="00000000" w:rsidP="00000000" w:rsidRDefault="00000000" w:rsidRPr="00000000" w14:paraId="0000005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6"/>
    </w:sdtPr>
    <w:sdtContent>
      <w:p w:rsidR="00000000" w:rsidDel="00000000" w:rsidP="00000000" w:rsidRDefault="00000000" w:rsidRPr="00000000" w14:paraId="0000004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ffffff" w:val="clear"/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-167639</wp:posOffset>
              </wp:positionV>
              <wp:extent cx="2200275" cy="476250"/>
              <wp:effectExtent b="0" l="0" r="0" t="0"/>
              <wp:wrapSquare wrapText="bothSides" distB="0" distT="0" distL="114300" distR="114300"/>
              <wp:docPr descr="Brenntag" id="9" name="image1.png"/>
              <a:graphic>
                <a:graphicData uri="http://schemas.openxmlformats.org/drawingml/2006/picture">
                  <pic:pic>
                    <pic:nvPicPr>
                      <pic:cNvPr descr="Brenntag"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0275" cy="476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77"/>
    </w:sdtPr>
    <w:sdtContent>
      <w:p w:rsidR="00000000" w:rsidDel="00000000" w:rsidP="00000000" w:rsidRDefault="00000000" w:rsidRPr="00000000" w14:paraId="0000004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ffffff" w:val="clear"/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78"/>
    </w:sdtPr>
    <w:sdtContent>
      <w:p w:rsidR="00000000" w:rsidDel="00000000" w:rsidP="00000000" w:rsidRDefault="00000000" w:rsidRPr="00000000" w14:paraId="0000004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ffffff" w:val="clear"/>
          <w:spacing w:after="0" w:before="0" w:line="240" w:lineRule="auto"/>
          <w:ind w:left="0" w:right="0" w:firstLine="0"/>
          <w:jc w:val="both"/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18"/>
            <w:szCs w:val="18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79"/>
    </w:sdtPr>
    <w:sdtContent>
      <w:p w:rsidR="00000000" w:rsidDel="00000000" w:rsidP="00000000" w:rsidRDefault="00000000" w:rsidRPr="00000000" w14:paraId="0000005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ffffff" w:val="clear"/>
          <w:spacing w:after="0" w:before="0" w:line="240" w:lineRule="auto"/>
          <w:ind w:left="0" w:right="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888888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Brenntag Ecuador S.A.</w:t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C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jc w:val="center"/>
    </w:pPr>
    <w:rPr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widowControl w:val="0"/>
      <w:jc w:val="both"/>
    </w:pPr>
    <w:rPr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098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D1515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7D1515"/>
    <w:pPr>
      <w:keepNext w:val="1"/>
      <w:widowControl w:val="0"/>
      <w:jc w:val="center"/>
      <w:outlineLvl w:val="2"/>
    </w:pPr>
    <w:rPr>
      <w:b w:val="1"/>
      <w:snapToGrid w:val="0"/>
      <w:sz w:val="30"/>
      <w:lang w:val="es-ES_tradnl"/>
    </w:rPr>
  </w:style>
  <w:style w:type="paragraph" w:styleId="Ttulo4">
    <w:name w:val="heading 4"/>
    <w:basedOn w:val="Normal"/>
    <w:next w:val="Normal"/>
    <w:link w:val="Ttulo4Car"/>
    <w:qFormat w:val="1"/>
    <w:rsid w:val="007D1515"/>
    <w:pPr>
      <w:keepNext w:val="1"/>
      <w:widowControl w:val="0"/>
      <w:jc w:val="both"/>
      <w:outlineLvl w:val="3"/>
    </w:pPr>
    <w:rPr>
      <w:snapToGrid w:val="0"/>
      <w:spacing w:val="-2"/>
      <w:sz w:val="30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rsid w:val="007D1515"/>
    <w:rPr>
      <w:rFonts w:ascii="Times New Roman" w:cs="Times New Roman" w:eastAsia="Times New Roman" w:hAnsi="Times New Roman"/>
      <w:b w:val="1"/>
      <w:snapToGrid w:val="0"/>
      <w:sz w:val="30"/>
      <w:szCs w:val="20"/>
      <w:lang w:eastAsia="es-ES" w:val="es-ES_tradnl"/>
    </w:rPr>
  </w:style>
  <w:style w:type="character" w:styleId="Ttulo4Car" w:customStyle="1">
    <w:name w:val="Título 4 Car"/>
    <w:basedOn w:val="Fuentedeprrafopredeter"/>
    <w:link w:val="Ttulo4"/>
    <w:rsid w:val="007D1515"/>
    <w:rPr>
      <w:rFonts w:ascii="Times New Roman" w:cs="Times New Roman" w:eastAsia="Times New Roman" w:hAnsi="Times New Roman"/>
      <w:snapToGrid w:val="0"/>
      <w:spacing w:val="-2"/>
      <w:sz w:val="30"/>
      <w:szCs w:val="20"/>
      <w:lang w:eastAsia="es-ES" w:val="es-ES_tradnl"/>
    </w:rPr>
  </w:style>
  <w:style w:type="character" w:styleId="Ttulo1Car" w:customStyle="1">
    <w:name w:val="Título 1 Car"/>
    <w:basedOn w:val="Fuentedeprrafopredeter"/>
    <w:link w:val="Ttulo1"/>
    <w:uiPriority w:val="9"/>
    <w:rsid w:val="007D151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s-ES"/>
    </w:rPr>
  </w:style>
  <w:style w:type="character" w:styleId="Hipervnculo">
    <w:name w:val="Hyperlink"/>
    <w:basedOn w:val="Fuentedeprrafopredeter"/>
    <w:rsid w:val="00142BF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rsid w:val="00225F64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225F64"/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225F64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225F64"/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rsid w:val="00B65F6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65F66"/>
    <w:rPr>
      <w:rFonts w:ascii="Tahoma" w:cs="Tahoma" w:eastAsia="Times New Roman" w:hAnsi="Tahoma"/>
      <w:sz w:val="16"/>
      <w:szCs w:val="16"/>
      <w:lang w:eastAsia="es-ES"/>
    </w:rPr>
  </w:style>
  <w:style w:type="paragraph" w:styleId="yiv1858888339msonormal" w:customStyle="1">
    <w:name w:val="yiv1858888339msonormal"/>
    <w:basedOn w:val="Normal"/>
    <w:rsid w:val="00F0216F"/>
    <w:pPr>
      <w:spacing w:after="100" w:afterAutospacing="1" w:before="100" w:before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FE5363"/>
    <w:pPr>
      <w:spacing w:after="100" w:afterAutospacing="1" w:before="100" w:beforeAutospacing="1"/>
    </w:pPr>
    <w:rPr>
      <w:sz w:val="24"/>
      <w:szCs w:val="24"/>
      <w:lang w:eastAsia="es-EC" w:val="es-EC"/>
    </w:rPr>
  </w:style>
  <w:style w:type="table" w:styleId="Tablaconcuadrcula">
    <w:name w:val="Table Grid"/>
    <w:basedOn w:val="Tablanormal"/>
    <w:rsid w:val="001679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semiHidden w:val="1"/>
    <w:unhideWhenUsed w:val="1"/>
    <w:rsid w:val="00E87C2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 w:val="1"/>
    <w:unhideWhenUsed w:val="1"/>
    <w:rsid w:val="00E87C20"/>
  </w:style>
  <w:style w:type="character" w:styleId="TextocomentarioCar" w:customStyle="1">
    <w:name w:val="Texto comentario Car"/>
    <w:basedOn w:val="Fuentedeprrafopredeter"/>
    <w:link w:val="Textocomentario"/>
    <w:semiHidden w:val="1"/>
    <w:rsid w:val="00E87C20"/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 w:val="1"/>
    <w:unhideWhenUsed w:val="1"/>
    <w:rsid w:val="00E87C20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semiHidden w:val="1"/>
    <w:rsid w:val="00E87C20"/>
    <w:rPr>
      <w:rFonts w:ascii="Times New Roman" w:cs="Times New Roman" w:eastAsia="Times New Roman" w:hAnsi="Times New Roman"/>
      <w:b w:val="1"/>
      <w:bCs w:val="1"/>
      <w:sz w:val="20"/>
      <w:szCs w:val="20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QjgAwHGqu/NVFbP291z49H0JjQ==">AMUW2mVjp9uDUHI7WqjfHBoep0/WMiIOo+DD9KqvurYemjKLUpKvoyXosmQA35V87UD4RRL5bUVel3j9TK2sWdtCQwV7V5GgFQx4gZYFGABPn+qYbp2+BCwCXH/uamOAPQsaoPgFT3WK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2019-03-14T20:21:00Z</dcterms:created>
  <dc:creator>Mperez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4096">
    <vt:lpwstr>123</vt:lpwstr>
  </property>
  <property fmtid="{D5CDD505-2E9C-101B-9397-08002B2CF9AE}" pid="3" name="ContentTypeId">
    <vt:lpwstr>0x010100D46E2D9CEEAACA4CA45822B67DE1A678</vt:lpwstr>
  </property>
</Properties>
</file>