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F372C" w14:textId="77777777" w:rsidR="00275CED" w:rsidRDefault="004A545C">
      <w:pPr>
        <w:spacing w:after="219"/>
        <w:ind w:left="1013"/>
      </w:pPr>
      <w:r>
        <w:rPr>
          <w:rFonts w:ascii="Times New Roman" w:eastAsia="Times New Roman" w:hAnsi="Times New Roman" w:cs="Times New Roman"/>
          <w:sz w:val="45"/>
        </w:rPr>
        <w:t xml:space="preserve">Predicting Stock Volatility  </w:t>
      </w:r>
    </w:p>
    <w:p w14:paraId="11245F7D" w14:textId="77777777" w:rsidR="00275CED" w:rsidRDefault="004A545C">
      <w:pPr>
        <w:pStyle w:val="Heading1"/>
        <w:spacing w:after="0"/>
        <w:ind w:left="0"/>
      </w:pPr>
      <w:r>
        <w:t xml:space="preserve">(COMP3125 Individual Project) </w:t>
      </w:r>
    </w:p>
    <w:p w14:paraId="3B700358" w14:textId="77777777" w:rsidR="00275CED" w:rsidRDefault="004A545C">
      <w:pPr>
        <w:spacing w:after="14"/>
      </w:pPr>
      <w:r>
        <w:rPr>
          <w:rFonts w:ascii="Times New Roman" w:eastAsia="Times New Roman" w:hAnsi="Times New Roman" w:cs="Times New Roman"/>
          <w:sz w:val="17"/>
        </w:rPr>
        <w:t xml:space="preserve"> </w:t>
      </w:r>
    </w:p>
    <w:p w14:paraId="533D2501" w14:textId="77777777" w:rsidR="00275CED" w:rsidRDefault="004A545C">
      <w:pPr>
        <w:spacing w:after="0"/>
        <w:ind w:left="483"/>
        <w:jc w:val="center"/>
      </w:pPr>
      <w:r>
        <w:rPr>
          <w:rFonts w:ascii="Times New Roman" w:eastAsia="Times New Roman" w:hAnsi="Times New Roman" w:cs="Times New Roman"/>
          <w:sz w:val="17"/>
        </w:rPr>
        <w:t xml:space="preserve">Gurucharan Naikar </w:t>
      </w:r>
    </w:p>
    <w:p w14:paraId="6BC16FA0" w14:textId="77777777" w:rsidR="00275CED" w:rsidRDefault="004A545C">
      <w:pPr>
        <w:spacing w:after="0" w:line="236" w:lineRule="auto"/>
        <w:ind w:left="1671" w:right="1150"/>
        <w:jc w:val="center"/>
      </w:pPr>
      <w:r>
        <w:rPr>
          <w:rFonts w:ascii="Times New Roman" w:eastAsia="Times New Roman" w:hAnsi="Times New Roman" w:cs="Times New Roman"/>
          <w:sz w:val="17"/>
        </w:rPr>
        <w:t>School of Computing and Data Science, Wentworth Institute of Technology</w:t>
      </w:r>
    </w:p>
    <w:p w14:paraId="76E44C46" w14:textId="77777777" w:rsidR="00275CED" w:rsidRDefault="00275CED">
      <w:pPr>
        <w:sectPr w:rsidR="00275CED">
          <w:pgSz w:w="12240" w:h="15840"/>
          <w:pgMar w:top="617" w:right="3211" w:bottom="1380" w:left="2717" w:header="720" w:footer="720" w:gutter="0"/>
          <w:cols w:space="720"/>
        </w:sectPr>
      </w:pPr>
    </w:p>
    <w:p w14:paraId="2F4F2313" w14:textId="77777777" w:rsidR="00275CED" w:rsidRDefault="004A545C">
      <w:pPr>
        <w:spacing w:after="201" w:line="239" w:lineRule="auto"/>
        <w:ind w:right="47" w:firstLine="257"/>
        <w:jc w:val="both"/>
      </w:pPr>
      <w:r>
        <w:rPr>
          <w:rFonts w:ascii="Times New Roman" w:eastAsia="Times New Roman" w:hAnsi="Times New Roman" w:cs="Times New Roman"/>
          <w:sz w:val="17"/>
        </w:rPr>
        <w:t>Abstract—</w:t>
      </w:r>
      <w:r>
        <w:rPr>
          <w:rFonts w:ascii="Times New Roman" w:eastAsia="Times New Roman" w:hAnsi="Times New Roman" w:cs="Times New Roman"/>
          <w:sz w:val="19"/>
        </w:rPr>
        <w:t xml:space="preserve"> </w:t>
      </w:r>
      <w:r>
        <w:rPr>
          <w:rFonts w:ascii="Times New Roman" w:eastAsia="Times New Roman" w:hAnsi="Times New Roman" w:cs="Times New Roman"/>
          <w:sz w:val="17"/>
        </w:rPr>
        <w:t>This project uses data science to predict stock market volatility using machine learning. We use daily stock data from Yahoo Finance for S&amp;P 500 companies from 2020 to 2025. By creating features like moving averages and daily returns, we characterize how the market behaves. We then use a K-Nearest Neighbors (KNN) model to classify stocks as either "High Volatility" or "Low Volatility" for the upcoming month. Our process includes cleaning the data, engineering features, and testing how well the model works u</w:t>
      </w:r>
      <w:r>
        <w:rPr>
          <w:rFonts w:ascii="Times New Roman" w:eastAsia="Times New Roman" w:hAnsi="Times New Roman" w:cs="Times New Roman"/>
          <w:sz w:val="17"/>
        </w:rPr>
        <w:t xml:space="preserve">sing tools like confusion matrices. </w:t>
      </w:r>
    </w:p>
    <w:p w14:paraId="0A015D4F" w14:textId="77777777" w:rsidR="00275CED" w:rsidRDefault="004A545C">
      <w:pPr>
        <w:spacing w:after="191" w:line="243" w:lineRule="auto"/>
        <w:ind w:firstLine="259"/>
      </w:pPr>
      <w:r>
        <w:rPr>
          <w:rFonts w:ascii="Times New Roman" w:eastAsia="Times New Roman" w:hAnsi="Times New Roman" w:cs="Times New Roman"/>
          <w:sz w:val="17"/>
        </w:rPr>
        <w:t>Keywords—</w:t>
      </w:r>
      <w:r>
        <w:rPr>
          <w:rFonts w:ascii="Times New Roman" w:eastAsia="Times New Roman" w:hAnsi="Times New Roman" w:cs="Times New Roman"/>
          <w:sz w:val="19"/>
        </w:rPr>
        <w:t xml:space="preserve"> </w:t>
      </w:r>
      <w:r>
        <w:rPr>
          <w:rFonts w:ascii="Times New Roman" w:eastAsia="Times New Roman" w:hAnsi="Times New Roman" w:cs="Times New Roman"/>
          <w:sz w:val="17"/>
        </w:rPr>
        <w:t xml:space="preserve">Stock Volatility, K-Nearest Neighbors, Machine Learning, Financial Analysis, Classification </w:t>
      </w:r>
    </w:p>
    <w:p w14:paraId="71654529" w14:textId="77777777" w:rsidR="00275CED" w:rsidRDefault="004A545C">
      <w:pPr>
        <w:pStyle w:val="Heading2"/>
      </w:pPr>
      <w:r>
        <w:rPr>
          <w:sz w:val="19"/>
        </w:rPr>
        <w:t>I.</w:t>
      </w:r>
      <w:r>
        <w:rPr>
          <w:sz w:val="19"/>
        </w:rPr>
        <w:t xml:space="preserve"> </w:t>
      </w:r>
      <w:r>
        <w:rPr>
          <w:sz w:val="19"/>
        </w:rPr>
        <w:t>I</w:t>
      </w:r>
      <w:r>
        <w:t xml:space="preserve">NTRODUCTION </w:t>
      </w:r>
      <w:r>
        <w:rPr>
          <w:sz w:val="19"/>
        </w:rPr>
        <w:t>(</w:t>
      </w:r>
      <w:r>
        <w:rPr>
          <w:sz w:val="19"/>
        </w:rPr>
        <w:t>H</w:t>
      </w:r>
      <w:r>
        <w:t xml:space="preserve">EADING </w:t>
      </w:r>
      <w:r>
        <w:rPr>
          <w:sz w:val="19"/>
        </w:rPr>
        <w:t>1</w:t>
      </w:r>
      <w:r>
        <w:rPr>
          <w:sz w:val="19"/>
        </w:rPr>
        <w:t xml:space="preserve">) </w:t>
      </w:r>
    </w:p>
    <w:p w14:paraId="551B2F34" w14:textId="77777777" w:rsidR="00275CED" w:rsidRDefault="004A545C">
      <w:pPr>
        <w:spacing w:after="105" w:line="239" w:lineRule="auto"/>
        <w:ind w:left="-15" w:firstLine="261"/>
        <w:jc w:val="both"/>
      </w:pPr>
      <w:r>
        <w:rPr>
          <w:rFonts w:ascii="Times New Roman" w:eastAsia="Times New Roman" w:hAnsi="Times New Roman" w:cs="Times New Roman"/>
          <w:sz w:val="19"/>
        </w:rPr>
        <w:t xml:space="preserve"> The stock market is defined by volatility—the degree of variation in a trading price series over time. For investors and financial analysts, the ability to anticipate whether a stock will be "highly volatile" or "stable" </w:t>
      </w:r>
      <w:proofErr w:type="gramStart"/>
      <w:r>
        <w:rPr>
          <w:rFonts w:ascii="Times New Roman" w:eastAsia="Times New Roman" w:hAnsi="Times New Roman" w:cs="Times New Roman"/>
          <w:sz w:val="19"/>
        </w:rPr>
        <w:t>in the near future</w:t>
      </w:r>
      <w:proofErr w:type="gramEnd"/>
      <w:r>
        <w:rPr>
          <w:rFonts w:ascii="Times New Roman" w:eastAsia="Times New Roman" w:hAnsi="Times New Roman" w:cs="Times New Roman"/>
          <w:sz w:val="19"/>
        </w:rPr>
        <w:t xml:space="preserve"> is critical for risk management and portfolio optimization. High volatility can represent both a significant risk of loss and a significant opportunity for profit, depending on the investment strategy employed. Because financial markets are complex and noisy, predicting these shifts requires robust data analysis rather than intuition alone. </w:t>
      </w:r>
    </w:p>
    <w:p w14:paraId="0EEEBABB" w14:textId="77777777" w:rsidR="00275CED" w:rsidRDefault="004A545C">
      <w:pPr>
        <w:spacing w:after="171" w:line="239" w:lineRule="auto"/>
        <w:ind w:left="-15" w:firstLine="261"/>
        <w:jc w:val="both"/>
      </w:pPr>
      <w:r>
        <w:rPr>
          <w:rFonts w:ascii="Times New Roman" w:eastAsia="Times New Roman" w:hAnsi="Times New Roman" w:cs="Times New Roman"/>
          <w:sz w:val="19"/>
        </w:rPr>
        <w:t xml:space="preserve">This project aims to build a data-driven classification model to predict stock volatility by analyzing historical patterns. The primary objective is to determine if past trading metrics can accurately forecast future risk. To achieve this, we will first perform a descriptive analysis to understand how daily price changes and trading volume differ between historically stable "blue-chip" stocks and high-growth tech stocks. We will then explore if there is a visible correlation between a stock's average daily </w:t>
      </w:r>
      <w:r>
        <w:rPr>
          <w:rFonts w:ascii="Times New Roman" w:eastAsia="Times New Roman" w:hAnsi="Times New Roman" w:cs="Times New Roman"/>
          <w:sz w:val="19"/>
        </w:rPr>
        <w:t xml:space="preserve">trading volume and its subsequent volatility classification. Finally, the core predictive goal is to train a K-Nearest Neighbors (KNN) model to classify a stock as "High Volatility" or "Low Volatility" for the upcoming month based on data from the previous month. </w:t>
      </w:r>
    </w:p>
    <w:p w14:paraId="777E4D6E" w14:textId="77777777" w:rsidR="00275CED" w:rsidRDefault="004A545C">
      <w:pPr>
        <w:pStyle w:val="Heading2"/>
        <w:spacing w:after="105"/>
        <w:ind w:right="136"/>
      </w:pPr>
      <w:r>
        <w:rPr>
          <w:sz w:val="19"/>
        </w:rPr>
        <w:t>II.</w:t>
      </w:r>
      <w:r>
        <w:rPr>
          <w:sz w:val="19"/>
        </w:rPr>
        <w:t xml:space="preserve"> </w:t>
      </w:r>
      <w:r>
        <w:rPr>
          <w:sz w:val="19"/>
        </w:rPr>
        <w:t>D</w:t>
      </w:r>
      <w:r>
        <w:t>ATASETS</w:t>
      </w:r>
      <w:r>
        <w:rPr>
          <w:sz w:val="19"/>
        </w:rPr>
        <w:t xml:space="preserve"> </w:t>
      </w:r>
    </w:p>
    <w:p w14:paraId="436D6953" w14:textId="77777777" w:rsidR="00275CED" w:rsidRDefault="004A545C">
      <w:pPr>
        <w:pStyle w:val="Heading3"/>
        <w:ind w:left="-5"/>
      </w:pPr>
      <w:r>
        <w:t>A.</w:t>
      </w:r>
      <w:r>
        <w:t xml:space="preserve"> </w:t>
      </w:r>
      <w:r>
        <w:t xml:space="preserve">Source of dataset (Heading 2) </w:t>
      </w:r>
    </w:p>
    <w:tbl>
      <w:tblPr>
        <w:tblStyle w:val="TableGrid"/>
        <w:tblpPr w:vertAnchor="page" w:horzAnchor="page" w:tblpX="1358" w:tblpY="14990"/>
        <w:tblOverlap w:val="never"/>
        <w:tblW w:w="2687" w:type="dxa"/>
        <w:tblInd w:w="0" w:type="dxa"/>
        <w:tblCellMar>
          <w:top w:w="25" w:type="dxa"/>
          <w:left w:w="0" w:type="dxa"/>
          <w:bottom w:w="0" w:type="dxa"/>
          <w:right w:w="0" w:type="dxa"/>
        </w:tblCellMar>
        <w:tblLook w:val="04A0" w:firstRow="1" w:lastRow="0" w:firstColumn="1" w:lastColumn="0" w:noHBand="0" w:noVBand="1"/>
      </w:tblPr>
      <w:tblGrid>
        <w:gridCol w:w="2687"/>
      </w:tblGrid>
      <w:tr w:rsidR="00275CED" w14:paraId="432911FF" w14:textId="77777777">
        <w:trPr>
          <w:trHeight w:val="170"/>
        </w:trPr>
        <w:tc>
          <w:tcPr>
            <w:tcW w:w="2687" w:type="dxa"/>
            <w:tcBorders>
              <w:top w:val="nil"/>
              <w:left w:val="nil"/>
              <w:bottom w:val="nil"/>
              <w:right w:val="nil"/>
            </w:tcBorders>
          </w:tcPr>
          <w:p w14:paraId="576E7270" w14:textId="77777777" w:rsidR="00275CED" w:rsidRDefault="004A545C">
            <w:pPr>
              <w:spacing w:after="0"/>
            </w:pPr>
            <w:r>
              <w:rPr>
                <w:rFonts w:ascii="Times New Roman" w:eastAsia="Times New Roman" w:hAnsi="Times New Roman" w:cs="Times New Roman"/>
                <w:sz w:val="15"/>
              </w:rPr>
              <w:t>979-8-3315-0993-4/25/$31.00 ©2025 IEEE</w:t>
            </w:r>
            <w:r>
              <w:rPr>
                <w:rFonts w:ascii="Times New Roman" w:eastAsia="Times New Roman" w:hAnsi="Times New Roman" w:cs="Times New Roman"/>
                <w:sz w:val="19"/>
              </w:rPr>
              <w:t xml:space="preserve"> </w:t>
            </w:r>
          </w:p>
        </w:tc>
      </w:tr>
    </w:tbl>
    <w:p w14:paraId="19A43F47" w14:textId="77777777" w:rsidR="00275CED" w:rsidRDefault="004A545C">
      <w:pPr>
        <w:spacing w:after="105" w:line="239" w:lineRule="auto"/>
        <w:ind w:left="-15" w:firstLine="261"/>
        <w:jc w:val="both"/>
      </w:pPr>
      <w:r>
        <w:rPr>
          <w:rFonts w:ascii="Times New Roman" w:eastAsia="Times New Roman" w:hAnsi="Times New Roman" w:cs="Times New Roman"/>
          <w:sz w:val="19"/>
        </w:rPr>
        <w:t>The data for this project was obtained from Yahoo Finance</w:t>
      </w:r>
      <w:r>
        <w:rPr>
          <w:rFonts w:ascii="Times New Roman" w:eastAsia="Times New Roman" w:hAnsi="Times New Roman" w:cs="Times New Roman"/>
          <w:sz w:val="19"/>
        </w:rPr>
        <w:t xml:space="preserve">, a widely recognized and credible provider of financial market data. We accessed this data programmatically using the </w:t>
      </w:r>
      <w:proofErr w:type="spellStart"/>
      <w:r>
        <w:rPr>
          <w:rFonts w:ascii="Times New Roman" w:eastAsia="Times New Roman" w:hAnsi="Times New Roman" w:cs="Times New Roman"/>
          <w:sz w:val="19"/>
        </w:rPr>
        <w:t>yfinance</w:t>
      </w:r>
      <w:proofErr w:type="spellEnd"/>
      <w:r>
        <w:rPr>
          <w:rFonts w:ascii="Times New Roman" w:eastAsia="Times New Roman" w:hAnsi="Times New Roman" w:cs="Times New Roman"/>
          <w:sz w:val="19"/>
        </w:rPr>
        <w:t xml:space="preserve"> Python library, which scrapes official historical market data. The dataset was generated dynamically by pulling daily trading records for selected companies listed on the S&amp;P 500 index. This method ensures the data is up-</w:t>
      </w:r>
      <w:proofErr w:type="spellStart"/>
      <w:r>
        <w:rPr>
          <w:rFonts w:ascii="Times New Roman" w:eastAsia="Times New Roman" w:hAnsi="Times New Roman" w:cs="Times New Roman"/>
          <w:sz w:val="19"/>
        </w:rPr>
        <w:t>todate</w:t>
      </w:r>
      <w:proofErr w:type="spellEnd"/>
      <w:r>
        <w:rPr>
          <w:rFonts w:ascii="Times New Roman" w:eastAsia="Times New Roman" w:hAnsi="Times New Roman" w:cs="Times New Roman"/>
          <w:sz w:val="19"/>
        </w:rPr>
        <w:t xml:space="preserve"> and reflects actual market conditions. </w:t>
      </w:r>
    </w:p>
    <w:p w14:paraId="4D1C3FE3" w14:textId="77777777" w:rsidR="00275CED" w:rsidRDefault="004A545C">
      <w:pPr>
        <w:spacing w:after="115" w:line="239" w:lineRule="auto"/>
        <w:ind w:left="-15"/>
        <w:jc w:val="both"/>
      </w:pPr>
      <w:r>
        <w:rPr>
          <w:rFonts w:ascii="Times New Roman" w:eastAsia="Times New Roman" w:hAnsi="Times New Roman" w:cs="Times New Roman"/>
          <w:sz w:val="19"/>
        </w:rPr>
        <w:t xml:space="preserve">Example:   XXXX </w:t>
      </w:r>
    </w:p>
    <w:p w14:paraId="4FCBD10A" w14:textId="77777777" w:rsidR="00275CED" w:rsidRDefault="004A545C">
      <w:pPr>
        <w:pStyle w:val="Heading3"/>
        <w:ind w:left="-5"/>
      </w:pPr>
      <w:r>
        <w:t>B.</w:t>
      </w:r>
      <w:r>
        <w:t xml:space="preserve"> </w:t>
      </w:r>
      <w:r>
        <w:t xml:space="preserve">Character of the datasets </w:t>
      </w:r>
    </w:p>
    <w:p w14:paraId="591F43D9" w14:textId="77777777" w:rsidR="00275CED" w:rsidRDefault="004A545C">
      <w:pPr>
        <w:spacing w:after="0" w:line="239" w:lineRule="auto"/>
        <w:ind w:left="-15" w:firstLine="261"/>
        <w:jc w:val="both"/>
      </w:pPr>
      <w:r>
        <w:rPr>
          <w:rFonts w:ascii="Times New Roman" w:eastAsia="Times New Roman" w:hAnsi="Times New Roman" w:cs="Times New Roman"/>
          <w:sz w:val="19"/>
        </w:rPr>
        <w:t xml:space="preserve">The dataset covers a five-year period from 2020 to 2025 to capture different market conditions, including the </w:t>
      </w:r>
      <w:proofErr w:type="spellStart"/>
      <w:r>
        <w:rPr>
          <w:rFonts w:ascii="Times New Roman" w:eastAsia="Times New Roman" w:hAnsi="Times New Roman" w:cs="Times New Roman"/>
          <w:sz w:val="19"/>
        </w:rPr>
        <w:t>postpandemic</w:t>
      </w:r>
      <w:proofErr w:type="spellEnd"/>
      <w:r>
        <w:rPr>
          <w:rFonts w:ascii="Times New Roman" w:eastAsia="Times New Roman" w:hAnsi="Times New Roman" w:cs="Times New Roman"/>
          <w:sz w:val="19"/>
        </w:rPr>
        <w:t xml:space="preserve"> recovery and recent economic shifts. The data consists of time-series records where each row represents a single trading day for a specific stock. The raw dataset includes the following features: </w:t>
      </w:r>
    </w:p>
    <w:tbl>
      <w:tblPr>
        <w:tblStyle w:val="TableGrid"/>
        <w:tblW w:w="4564" w:type="dxa"/>
        <w:tblInd w:w="4" w:type="dxa"/>
        <w:tblCellMar>
          <w:top w:w="34" w:type="dxa"/>
          <w:left w:w="101" w:type="dxa"/>
          <w:bottom w:w="115" w:type="dxa"/>
          <w:right w:w="48" w:type="dxa"/>
        </w:tblCellMar>
        <w:tblLook w:val="04A0" w:firstRow="1" w:lastRow="0" w:firstColumn="1" w:lastColumn="0" w:noHBand="0" w:noVBand="1"/>
      </w:tblPr>
      <w:tblGrid>
        <w:gridCol w:w="1521"/>
        <w:gridCol w:w="1524"/>
        <w:gridCol w:w="1519"/>
      </w:tblGrid>
      <w:tr w:rsidR="00275CED" w14:paraId="73DA1491" w14:textId="77777777">
        <w:trPr>
          <w:trHeight w:val="326"/>
        </w:trPr>
        <w:tc>
          <w:tcPr>
            <w:tcW w:w="1520" w:type="dxa"/>
            <w:tcBorders>
              <w:top w:val="single" w:sz="4" w:space="0" w:color="000000"/>
              <w:left w:val="single" w:sz="3" w:space="0" w:color="000000"/>
              <w:bottom w:val="single" w:sz="4" w:space="0" w:color="000000"/>
              <w:right w:val="single" w:sz="4" w:space="0" w:color="000000"/>
            </w:tcBorders>
          </w:tcPr>
          <w:p w14:paraId="1F7AC628" w14:textId="77777777" w:rsidR="00275CED" w:rsidRDefault="004A545C">
            <w:pPr>
              <w:spacing w:after="0"/>
              <w:ind w:left="4"/>
            </w:pPr>
            <w:r>
              <w:rPr>
                <w:rFonts w:ascii="Times New Roman" w:eastAsia="Times New Roman" w:hAnsi="Times New Roman" w:cs="Times New Roman"/>
                <w:sz w:val="19"/>
              </w:rPr>
              <w:t xml:space="preserve">Feature Name </w:t>
            </w:r>
          </w:p>
        </w:tc>
        <w:tc>
          <w:tcPr>
            <w:tcW w:w="1524" w:type="dxa"/>
            <w:tcBorders>
              <w:top w:val="single" w:sz="4" w:space="0" w:color="000000"/>
              <w:left w:val="single" w:sz="4" w:space="0" w:color="000000"/>
              <w:bottom w:val="single" w:sz="4" w:space="0" w:color="000000"/>
              <w:right w:val="single" w:sz="4" w:space="0" w:color="000000"/>
            </w:tcBorders>
          </w:tcPr>
          <w:p w14:paraId="4410BCB4" w14:textId="77777777" w:rsidR="00275CED" w:rsidRDefault="004A545C">
            <w:pPr>
              <w:spacing w:after="0"/>
              <w:ind w:left="2"/>
            </w:pPr>
            <w:r>
              <w:rPr>
                <w:rFonts w:ascii="Times New Roman" w:eastAsia="Times New Roman" w:hAnsi="Times New Roman" w:cs="Times New Roman"/>
                <w:sz w:val="19"/>
              </w:rPr>
              <w:t xml:space="preserve">Unit </w:t>
            </w:r>
          </w:p>
        </w:tc>
        <w:tc>
          <w:tcPr>
            <w:tcW w:w="1519" w:type="dxa"/>
            <w:tcBorders>
              <w:top w:val="single" w:sz="4" w:space="0" w:color="000000"/>
              <w:left w:val="single" w:sz="4" w:space="0" w:color="000000"/>
              <w:bottom w:val="single" w:sz="4" w:space="0" w:color="000000"/>
              <w:right w:val="single" w:sz="4" w:space="0" w:color="000000"/>
            </w:tcBorders>
          </w:tcPr>
          <w:p w14:paraId="51242CDE" w14:textId="77777777" w:rsidR="00275CED" w:rsidRDefault="004A545C">
            <w:pPr>
              <w:spacing w:after="0"/>
            </w:pPr>
            <w:r>
              <w:rPr>
                <w:rFonts w:ascii="Times New Roman" w:eastAsia="Times New Roman" w:hAnsi="Times New Roman" w:cs="Times New Roman"/>
                <w:sz w:val="19"/>
              </w:rPr>
              <w:t xml:space="preserve">Description </w:t>
            </w:r>
          </w:p>
        </w:tc>
      </w:tr>
      <w:tr w:rsidR="00275CED" w14:paraId="1ED02DA4" w14:textId="77777777">
        <w:trPr>
          <w:trHeight w:val="533"/>
        </w:trPr>
        <w:tc>
          <w:tcPr>
            <w:tcW w:w="1520" w:type="dxa"/>
            <w:tcBorders>
              <w:top w:val="single" w:sz="4" w:space="0" w:color="000000"/>
              <w:left w:val="single" w:sz="3" w:space="0" w:color="000000"/>
              <w:bottom w:val="single" w:sz="4" w:space="0" w:color="000000"/>
              <w:right w:val="single" w:sz="4" w:space="0" w:color="000000"/>
            </w:tcBorders>
            <w:vAlign w:val="bottom"/>
          </w:tcPr>
          <w:p w14:paraId="1053E94D" w14:textId="77777777" w:rsidR="00275CED" w:rsidRDefault="004A545C">
            <w:pPr>
              <w:spacing w:after="0"/>
              <w:ind w:left="4"/>
            </w:pPr>
            <w:r>
              <w:rPr>
                <w:rFonts w:ascii="Times New Roman" w:eastAsia="Times New Roman" w:hAnsi="Times New Roman" w:cs="Times New Roman"/>
                <w:sz w:val="19"/>
              </w:rPr>
              <w:t xml:space="preserve">Date </w:t>
            </w:r>
          </w:p>
        </w:tc>
        <w:tc>
          <w:tcPr>
            <w:tcW w:w="1524" w:type="dxa"/>
            <w:tcBorders>
              <w:top w:val="single" w:sz="4" w:space="0" w:color="000000"/>
              <w:left w:val="single" w:sz="4" w:space="0" w:color="000000"/>
              <w:bottom w:val="single" w:sz="4" w:space="0" w:color="000000"/>
              <w:right w:val="single" w:sz="4" w:space="0" w:color="000000"/>
            </w:tcBorders>
            <w:vAlign w:val="bottom"/>
          </w:tcPr>
          <w:p w14:paraId="7E29F4BA" w14:textId="77777777" w:rsidR="00275CED" w:rsidRDefault="004A545C">
            <w:pPr>
              <w:spacing w:after="0"/>
              <w:ind w:left="2"/>
            </w:pPr>
            <w:proofErr w:type="spellStart"/>
            <w:r>
              <w:rPr>
                <w:rFonts w:ascii="Times New Roman" w:eastAsia="Times New Roman" w:hAnsi="Times New Roman" w:cs="Times New Roman"/>
                <w:sz w:val="19"/>
              </w:rPr>
              <w:t>DateTime</w:t>
            </w:r>
            <w:proofErr w:type="spellEnd"/>
            <w:r>
              <w:rPr>
                <w:rFonts w:ascii="Times New Roman" w:eastAsia="Times New Roman" w:hAnsi="Times New Roman" w:cs="Times New Roman"/>
                <w:sz w:val="19"/>
              </w:rPr>
              <w:t xml:space="preserve"> </w:t>
            </w:r>
          </w:p>
        </w:tc>
        <w:tc>
          <w:tcPr>
            <w:tcW w:w="1519" w:type="dxa"/>
            <w:tcBorders>
              <w:top w:val="single" w:sz="4" w:space="0" w:color="000000"/>
              <w:left w:val="single" w:sz="4" w:space="0" w:color="000000"/>
              <w:bottom w:val="single" w:sz="4" w:space="0" w:color="000000"/>
              <w:right w:val="single" w:sz="4" w:space="0" w:color="000000"/>
            </w:tcBorders>
          </w:tcPr>
          <w:p w14:paraId="2A9E87E5" w14:textId="77777777" w:rsidR="00275CED" w:rsidRDefault="004A545C">
            <w:pPr>
              <w:spacing w:after="0"/>
            </w:pPr>
            <w:proofErr w:type="gramStart"/>
            <w:r>
              <w:rPr>
                <w:rFonts w:ascii="Times New Roman" w:eastAsia="Times New Roman" w:hAnsi="Times New Roman" w:cs="Times New Roman"/>
                <w:sz w:val="19"/>
              </w:rPr>
              <w:t>The  specific</w:t>
            </w:r>
            <w:proofErr w:type="gramEnd"/>
            <w:r>
              <w:rPr>
                <w:rFonts w:ascii="Times New Roman" w:eastAsia="Times New Roman" w:hAnsi="Times New Roman" w:cs="Times New Roman"/>
                <w:sz w:val="19"/>
              </w:rPr>
              <w:t xml:space="preserve"> trading day. </w:t>
            </w:r>
          </w:p>
        </w:tc>
      </w:tr>
      <w:tr w:rsidR="00275CED" w14:paraId="2CAF69E7" w14:textId="77777777">
        <w:trPr>
          <w:trHeight w:val="737"/>
        </w:trPr>
        <w:tc>
          <w:tcPr>
            <w:tcW w:w="1520" w:type="dxa"/>
            <w:tcBorders>
              <w:top w:val="single" w:sz="4" w:space="0" w:color="000000"/>
              <w:left w:val="single" w:sz="3" w:space="0" w:color="000000"/>
              <w:bottom w:val="single" w:sz="4" w:space="0" w:color="000000"/>
              <w:right w:val="single" w:sz="4" w:space="0" w:color="000000"/>
            </w:tcBorders>
            <w:vAlign w:val="bottom"/>
          </w:tcPr>
          <w:p w14:paraId="3373B110" w14:textId="77777777" w:rsidR="00275CED" w:rsidRDefault="004A545C">
            <w:pPr>
              <w:spacing w:after="0"/>
              <w:ind w:left="4"/>
            </w:pPr>
            <w:r>
              <w:rPr>
                <w:rFonts w:ascii="Times New Roman" w:eastAsia="Times New Roman" w:hAnsi="Times New Roman" w:cs="Times New Roman"/>
                <w:sz w:val="19"/>
              </w:rPr>
              <w:t xml:space="preserve">Open </w:t>
            </w:r>
          </w:p>
        </w:tc>
        <w:tc>
          <w:tcPr>
            <w:tcW w:w="1524" w:type="dxa"/>
            <w:tcBorders>
              <w:top w:val="single" w:sz="4" w:space="0" w:color="000000"/>
              <w:left w:val="single" w:sz="4" w:space="0" w:color="000000"/>
              <w:bottom w:val="single" w:sz="4" w:space="0" w:color="000000"/>
              <w:right w:val="single" w:sz="4" w:space="0" w:color="000000"/>
            </w:tcBorders>
            <w:vAlign w:val="bottom"/>
          </w:tcPr>
          <w:p w14:paraId="785C8D66" w14:textId="77777777" w:rsidR="00275CED" w:rsidRDefault="004A545C">
            <w:pPr>
              <w:spacing w:after="0"/>
              <w:ind w:left="2"/>
            </w:pPr>
            <w:r>
              <w:rPr>
                <w:rFonts w:ascii="Times New Roman" w:eastAsia="Times New Roman" w:hAnsi="Times New Roman" w:cs="Times New Roman"/>
                <w:sz w:val="19"/>
              </w:rPr>
              <w:t xml:space="preserve">USD ($) </w:t>
            </w:r>
          </w:p>
        </w:tc>
        <w:tc>
          <w:tcPr>
            <w:tcW w:w="1519" w:type="dxa"/>
            <w:tcBorders>
              <w:top w:val="single" w:sz="4" w:space="0" w:color="000000"/>
              <w:left w:val="single" w:sz="4" w:space="0" w:color="000000"/>
              <w:bottom w:val="single" w:sz="4" w:space="0" w:color="000000"/>
              <w:right w:val="single" w:sz="4" w:space="0" w:color="000000"/>
            </w:tcBorders>
          </w:tcPr>
          <w:p w14:paraId="11A9730D" w14:textId="77777777" w:rsidR="00275CED" w:rsidRDefault="004A545C">
            <w:pPr>
              <w:spacing w:after="0"/>
              <w:ind w:right="51"/>
              <w:jc w:val="both"/>
            </w:pPr>
            <w:r>
              <w:rPr>
                <w:rFonts w:ascii="Times New Roman" w:eastAsia="Times New Roman" w:hAnsi="Times New Roman" w:cs="Times New Roman"/>
                <w:sz w:val="19"/>
              </w:rPr>
              <w:t xml:space="preserve">The price of the stock when the market opened. </w:t>
            </w:r>
          </w:p>
        </w:tc>
      </w:tr>
      <w:tr w:rsidR="00275CED" w14:paraId="14B6F61A" w14:textId="77777777">
        <w:trPr>
          <w:trHeight w:val="740"/>
        </w:trPr>
        <w:tc>
          <w:tcPr>
            <w:tcW w:w="1520" w:type="dxa"/>
            <w:tcBorders>
              <w:top w:val="single" w:sz="4" w:space="0" w:color="000000"/>
              <w:left w:val="single" w:sz="3" w:space="0" w:color="000000"/>
              <w:bottom w:val="single" w:sz="3" w:space="0" w:color="000000"/>
              <w:right w:val="single" w:sz="4" w:space="0" w:color="000000"/>
            </w:tcBorders>
            <w:vAlign w:val="bottom"/>
          </w:tcPr>
          <w:p w14:paraId="607E94E3" w14:textId="77777777" w:rsidR="00275CED" w:rsidRDefault="004A545C">
            <w:pPr>
              <w:spacing w:after="0"/>
              <w:ind w:left="4"/>
            </w:pPr>
            <w:r>
              <w:rPr>
                <w:rFonts w:ascii="Times New Roman" w:eastAsia="Times New Roman" w:hAnsi="Times New Roman" w:cs="Times New Roman"/>
                <w:sz w:val="19"/>
              </w:rPr>
              <w:t xml:space="preserve">High </w:t>
            </w:r>
          </w:p>
        </w:tc>
        <w:tc>
          <w:tcPr>
            <w:tcW w:w="1524" w:type="dxa"/>
            <w:tcBorders>
              <w:top w:val="single" w:sz="4" w:space="0" w:color="000000"/>
              <w:left w:val="single" w:sz="4" w:space="0" w:color="000000"/>
              <w:bottom w:val="single" w:sz="3" w:space="0" w:color="000000"/>
              <w:right w:val="single" w:sz="4" w:space="0" w:color="000000"/>
            </w:tcBorders>
            <w:vAlign w:val="bottom"/>
          </w:tcPr>
          <w:p w14:paraId="7322BDBA" w14:textId="77777777" w:rsidR="00275CED" w:rsidRDefault="004A545C">
            <w:pPr>
              <w:spacing w:after="0"/>
              <w:ind w:left="2"/>
            </w:pPr>
            <w:r>
              <w:rPr>
                <w:rFonts w:ascii="Times New Roman" w:eastAsia="Times New Roman" w:hAnsi="Times New Roman" w:cs="Times New Roman"/>
                <w:sz w:val="19"/>
              </w:rPr>
              <w:t xml:space="preserve">USD ($) </w:t>
            </w:r>
          </w:p>
        </w:tc>
        <w:tc>
          <w:tcPr>
            <w:tcW w:w="1519" w:type="dxa"/>
            <w:tcBorders>
              <w:top w:val="single" w:sz="4" w:space="0" w:color="000000"/>
              <w:left w:val="single" w:sz="4" w:space="0" w:color="000000"/>
              <w:bottom w:val="single" w:sz="3" w:space="0" w:color="000000"/>
              <w:right w:val="single" w:sz="4" w:space="0" w:color="000000"/>
            </w:tcBorders>
          </w:tcPr>
          <w:p w14:paraId="16D56CAD" w14:textId="77777777" w:rsidR="00275CED" w:rsidRDefault="004A545C">
            <w:pPr>
              <w:spacing w:after="0"/>
              <w:ind w:right="49"/>
              <w:jc w:val="both"/>
            </w:pPr>
            <w:r>
              <w:rPr>
                <w:rFonts w:ascii="Times New Roman" w:eastAsia="Times New Roman" w:hAnsi="Times New Roman" w:cs="Times New Roman"/>
                <w:sz w:val="19"/>
              </w:rPr>
              <w:t xml:space="preserve">The highest price reached during the day. </w:t>
            </w:r>
          </w:p>
        </w:tc>
      </w:tr>
      <w:tr w:rsidR="00275CED" w14:paraId="0044FA66" w14:textId="77777777">
        <w:trPr>
          <w:trHeight w:val="738"/>
        </w:trPr>
        <w:tc>
          <w:tcPr>
            <w:tcW w:w="1520" w:type="dxa"/>
            <w:tcBorders>
              <w:top w:val="single" w:sz="3" w:space="0" w:color="000000"/>
              <w:left w:val="single" w:sz="3" w:space="0" w:color="000000"/>
              <w:bottom w:val="single" w:sz="4" w:space="0" w:color="000000"/>
              <w:right w:val="single" w:sz="4" w:space="0" w:color="000000"/>
            </w:tcBorders>
            <w:vAlign w:val="bottom"/>
          </w:tcPr>
          <w:p w14:paraId="4A0C0156" w14:textId="77777777" w:rsidR="00275CED" w:rsidRDefault="004A545C">
            <w:pPr>
              <w:spacing w:after="0"/>
              <w:ind w:left="4"/>
            </w:pPr>
            <w:r>
              <w:rPr>
                <w:rFonts w:ascii="Times New Roman" w:eastAsia="Times New Roman" w:hAnsi="Times New Roman" w:cs="Times New Roman"/>
                <w:sz w:val="19"/>
              </w:rPr>
              <w:t xml:space="preserve">Low </w:t>
            </w:r>
          </w:p>
        </w:tc>
        <w:tc>
          <w:tcPr>
            <w:tcW w:w="1524" w:type="dxa"/>
            <w:tcBorders>
              <w:top w:val="single" w:sz="3" w:space="0" w:color="000000"/>
              <w:left w:val="single" w:sz="4" w:space="0" w:color="000000"/>
              <w:bottom w:val="single" w:sz="4" w:space="0" w:color="000000"/>
              <w:right w:val="single" w:sz="4" w:space="0" w:color="000000"/>
            </w:tcBorders>
            <w:vAlign w:val="bottom"/>
          </w:tcPr>
          <w:p w14:paraId="499C1B6E" w14:textId="77777777" w:rsidR="00275CED" w:rsidRDefault="004A545C">
            <w:pPr>
              <w:spacing w:after="0"/>
              <w:ind w:left="2"/>
            </w:pPr>
            <w:r>
              <w:rPr>
                <w:rFonts w:ascii="Times New Roman" w:eastAsia="Times New Roman" w:hAnsi="Times New Roman" w:cs="Times New Roman"/>
                <w:sz w:val="19"/>
              </w:rPr>
              <w:t xml:space="preserve">USD ($) </w:t>
            </w:r>
          </w:p>
        </w:tc>
        <w:tc>
          <w:tcPr>
            <w:tcW w:w="1519" w:type="dxa"/>
            <w:tcBorders>
              <w:top w:val="single" w:sz="3" w:space="0" w:color="000000"/>
              <w:left w:val="single" w:sz="4" w:space="0" w:color="000000"/>
              <w:bottom w:val="single" w:sz="4" w:space="0" w:color="000000"/>
              <w:right w:val="single" w:sz="4" w:space="0" w:color="000000"/>
            </w:tcBorders>
          </w:tcPr>
          <w:p w14:paraId="04D526FA" w14:textId="77777777" w:rsidR="00275CED" w:rsidRDefault="004A545C">
            <w:pPr>
              <w:spacing w:after="0"/>
              <w:ind w:right="49"/>
              <w:jc w:val="both"/>
            </w:pPr>
            <w:r>
              <w:rPr>
                <w:rFonts w:ascii="Times New Roman" w:eastAsia="Times New Roman" w:hAnsi="Times New Roman" w:cs="Times New Roman"/>
                <w:sz w:val="19"/>
              </w:rPr>
              <w:t xml:space="preserve">The lowest price reached during the day. </w:t>
            </w:r>
          </w:p>
        </w:tc>
      </w:tr>
      <w:tr w:rsidR="00275CED" w14:paraId="23CBEE1E" w14:textId="77777777">
        <w:trPr>
          <w:trHeight w:val="737"/>
        </w:trPr>
        <w:tc>
          <w:tcPr>
            <w:tcW w:w="1520" w:type="dxa"/>
            <w:tcBorders>
              <w:top w:val="single" w:sz="4" w:space="0" w:color="000000"/>
              <w:left w:val="single" w:sz="3" w:space="0" w:color="000000"/>
              <w:bottom w:val="single" w:sz="4" w:space="0" w:color="000000"/>
              <w:right w:val="single" w:sz="4" w:space="0" w:color="000000"/>
            </w:tcBorders>
            <w:vAlign w:val="bottom"/>
          </w:tcPr>
          <w:p w14:paraId="7146C9A8" w14:textId="77777777" w:rsidR="00275CED" w:rsidRDefault="004A545C">
            <w:pPr>
              <w:spacing w:after="0"/>
              <w:ind w:left="4"/>
            </w:pPr>
            <w:r>
              <w:rPr>
                <w:rFonts w:ascii="Times New Roman" w:eastAsia="Times New Roman" w:hAnsi="Times New Roman" w:cs="Times New Roman"/>
                <w:sz w:val="19"/>
              </w:rPr>
              <w:t xml:space="preserve">Close </w:t>
            </w:r>
          </w:p>
        </w:tc>
        <w:tc>
          <w:tcPr>
            <w:tcW w:w="1524" w:type="dxa"/>
            <w:tcBorders>
              <w:top w:val="single" w:sz="4" w:space="0" w:color="000000"/>
              <w:left w:val="single" w:sz="4" w:space="0" w:color="000000"/>
              <w:bottom w:val="single" w:sz="4" w:space="0" w:color="000000"/>
              <w:right w:val="single" w:sz="4" w:space="0" w:color="000000"/>
            </w:tcBorders>
            <w:vAlign w:val="bottom"/>
          </w:tcPr>
          <w:p w14:paraId="43B3317C" w14:textId="77777777" w:rsidR="00275CED" w:rsidRDefault="004A545C">
            <w:pPr>
              <w:spacing w:after="0"/>
              <w:ind w:left="2"/>
            </w:pPr>
            <w:r>
              <w:rPr>
                <w:rFonts w:ascii="Times New Roman" w:eastAsia="Times New Roman" w:hAnsi="Times New Roman" w:cs="Times New Roman"/>
                <w:sz w:val="19"/>
              </w:rPr>
              <w:t xml:space="preserve">USD ($) </w:t>
            </w:r>
          </w:p>
        </w:tc>
        <w:tc>
          <w:tcPr>
            <w:tcW w:w="1519" w:type="dxa"/>
            <w:tcBorders>
              <w:top w:val="single" w:sz="4" w:space="0" w:color="000000"/>
              <w:left w:val="single" w:sz="4" w:space="0" w:color="000000"/>
              <w:bottom w:val="single" w:sz="4" w:space="0" w:color="000000"/>
              <w:right w:val="single" w:sz="4" w:space="0" w:color="000000"/>
            </w:tcBorders>
          </w:tcPr>
          <w:p w14:paraId="4C7E4939" w14:textId="77777777" w:rsidR="00275CED" w:rsidRDefault="004A545C">
            <w:pPr>
              <w:spacing w:after="0"/>
              <w:ind w:right="49"/>
              <w:jc w:val="both"/>
            </w:pPr>
            <w:r>
              <w:rPr>
                <w:rFonts w:ascii="Times New Roman" w:eastAsia="Times New Roman" w:hAnsi="Times New Roman" w:cs="Times New Roman"/>
                <w:sz w:val="19"/>
              </w:rPr>
              <w:t xml:space="preserve">The final price when the market closed. </w:t>
            </w:r>
          </w:p>
        </w:tc>
      </w:tr>
      <w:tr w:rsidR="00275CED" w14:paraId="10989F82" w14:textId="77777777">
        <w:trPr>
          <w:trHeight w:val="946"/>
        </w:trPr>
        <w:tc>
          <w:tcPr>
            <w:tcW w:w="1520" w:type="dxa"/>
            <w:tcBorders>
              <w:top w:val="single" w:sz="4" w:space="0" w:color="000000"/>
              <w:left w:val="single" w:sz="3" w:space="0" w:color="000000"/>
              <w:bottom w:val="single" w:sz="4" w:space="0" w:color="000000"/>
              <w:right w:val="single" w:sz="4" w:space="0" w:color="000000"/>
            </w:tcBorders>
            <w:vAlign w:val="bottom"/>
          </w:tcPr>
          <w:p w14:paraId="617AC9A4" w14:textId="77777777" w:rsidR="00275CED" w:rsidRDefault="004A545C">
            <w:pPr>
              <w:spacing w:after="0"/>
              <w:ind w:left="4"/>
            </w:pPr>
            <w:r>
              <w:rPr>
                <w:rFonts w:ascii="Times New Roman" w:eastAsia="Times New Roman" w:hAnsi="Times New Roman" w:cs="Times New Roman"/>
                <w:sz w:val="19"/>
              </w:rPr>
              <w:t xml:space="preserve">Volume </w:t>
            </w:r>
          </w:p>
        </w:tc>
        <w:tc>
          <w:tcPr>
            <w:tcW w:w="1524" w:type="dxa"/>
            <w:tcBorders>
              <w:top w:val="single" w:sz="4" w:space="0" w:color="000000"/>
              <w:left w:val="single" w:sz="4" w:space="0" w:color="000000"/>
              <w:bottom w:val="single" w:sz="4" w:space="0" w:color="000000"/>
              <w:right w:val="single" w:sz="4" w:space="0" w:color="000000"/>
            </w:tcBorders>
            <w:vAlign w:val="bottom"/>
          </w:tcPr>
          <w:p w14:paraId="3E968320" w14:textId="77777777" w:rsidR="00275CED" w:rsidRDefault="004A545C">
            <w:pPr>
              <w:spacing w:after="0"/>
              <w:ind w:left="2"/>
            </w:pPr>
            <w:r>
              <w:rPr>
                <w:rFonts w:ascii="Times New Roman" w:eastAsia="Times New Roman" w:hAnsi="Times New Roman" w:cs="Times New Roman"/>
                <w:sz w:val="19"/>
              </w:rPr>
              <w:t xml:space="preserve">Count </w:t>
            </w:r>
          </w:p>
        </w:tc>
        <w:tc>
          <w:tcPr>
            <w:tcW w:w="1519" w:type="dxa"/>
            <w:tcBorders>
              <w:top w:val="single" w:sz="4" w:space="0" w:color="000000"/>
              <w:left w:val="single" w:sz="4" w:space="0" w:color="000000"/>
              <w:bottom w:val="single" w:sz="4" w:space="0" w:color="000000"/>
              <w:right w:val="single" w:sz="4" w:space="0" w:color="000000"/>
            </w:tcBorders>
          </w:tcPr>
          <w:p w14:paraId="2F3147B4" w14:textId="77777777" w:rsidR="00275CED" w:rsidRDefault="004A545C">
            <w:pPr>
              <w:spacing w:after="0"/>
            </w:pPr>
            <w:r>
              <w:rPr>
                <w:rFonts w:ascii="Times New Roman" w:eastAsia="Times New Roman" w:hAnsi="Times New Roman" w:cs="Times New Roman"/>
                <w:sz w:val="19"/>
              </w:rPr>
              <w:t xml:space="preserve">The </w:t>
            </w:r>
            <w:r>
              <w:rPr>
                <w:rFonts w:ascii="Times New Roman" w:eastAsia="Times New Roman" w:hAnsi="Times New Roman" w:cs="Times New Roman"/>
                <w:sz w:val="19"/>
              </w:rPr>
              <w:tab/>
              <w:t xml:space="preserve">total number </w:t>
            </w:r>
            <w:r>
              <w:rPr>
                <w:rFonts w:ascii="Times New Roman" w:eastAsia="Times New Roman" w:hAnsi="Times New Roman" w:cs="Times New Roman"/>
                <w:sz w:val="19"/>
              </w:rPr>
              <w:tab/>
              <w:t xml:space="preserve">of shares </w:t>
            </w:r>
            <w:r>
              <w:rPr>
                <w:rFonts w:ascii="Times New Roman" w:eastAsia="Times New Roman" w:hAnsi="Times New Roman" w:cs="Times New Roman"/>
                <w:sz w:val="19"/>
              </w:rPr>
              <w:tab/>
              <w:t xml:space="preserve">traded that day. </w:t>
            </w:r>
          </w:p>
        </w:tc>
      </w:tr>
    </w:tbl>
    <w:p w14:paraId="4A2BECE8" w14:textId="77777777" w:rsidR="00275CED" w:rsidRDefault="004A545C">
      <w:pPr>
        <w:spacing w:after="83"/>
        <w:ind w:left="271"/>
      </w:pPr>
      <w:r>
        <w:rPr>
          <w:rFonts w:ascii="Times New Roman" w:eastAsia="Times New Roman" w:hAnsi="Times New Roman" w:cs="Times New Roman"/>
          <w:sz w:val="19"/>
        </w:rPr>
        <w:t xml:space="preserve"> </w:t>
      </w:r>
    </w:p>
    <w:p w14:paraId="122C6058" w14:textId="77777777" w:rsidR="00275CED" w:rsidRDefault="004A545C">
      <w:pPr>
        <w:spacing w:after="171" w:line="239" w:lineRule="auto"/>
        <w:ind w:left="-15"/>
        <w:jc w:val="both"/>
      </w:pPr>
      <w:r>
        <w:rPr>
          <w:rFonts w:ascii="Times New Roman" w:eastAsia="Times New Roman" w:hAnsi="Times New Roman" w:cs="Times New Roman"/>
          <w:sz w:val="19"/>
        </w:rPr>
        <w:t xml:space="preserve"> To make this data ready for analysis, significant data cleaning and feature engineering were required. We removed rows with missing data, which usually correspond to market holidays. Furthermore, because raw stock prices vary wildly, for example, one stock costs $10 and another $1000, raw prices are not good for machine learning. We engineered new features to solve this, including a 7-Day Moving Average of Volume and Daily Return Percentages. Finally, we have created a new categorical target variable calle</w:t>
      </w:r>
      <w:r>
        <w:rPr>
          <w:rFonts w:ascii="Times New Roman" w:eastAsia="Times New Roman" w:hAnsi="Times New Roman" w:cs="Times New Roman"/>
          <w:sz w:val="19"/>
        </w:rPr>
        <w:t xml:space="preserve">d Volatility Class. This was generated by calculating the standard deviation of returns for each month; months in the top 25th percentile of variance </w:t>
      </w:r>
      <w:proofErr w:type="gramStart"/>
      <w:r>
        <w:rPr>
          <w:rFonts w:ascii="Times New Roman" w:eastAsia="Times New Roman" w:hAnsi="Times New Roman" w:cs="Times New Roman"/>
          <w:sz w:val="19"/>
        </w:rPr>
        <w:t>were</w:t>
      </w:r>
      <w:proofErr w:type="gramEnd"/>
      <w:r>
        <w:rPr>
          <w:rFonts w:ascii="Times New Roman" w:eastAsia="Times New Roman" w:hAnsi="Times New Roman" w:cs="Times New Roman"/>
          <w:sz w:val="19"/>
        </w:rPr>
        <w:t xml:space="preserve"> labeled as High Volatility, and the rest as Low Volatility. </w:t>
      </w:r>
    </w:p>
    <w:p w14:paraId="4B78BE33" w14:textId="77777777" w:rsidR="00275CED" w:rsidRDefault="004A545C">
      <w:pPr>
        <w:pStyle w:val="Heading2"/>
        <w:spacing w:after="248"/>
        <w:ind w:right="121"/>
      </w:pPr>
      <w:r>
        <w:rPr>
          <w:sz w:val="19"/>
        </w:rPr>
        <w:lastRenderedPageBreak/>
        <w:t>III.</w:t>
      </w:r>
      <w:r>
        <w:rPr>
          <w:sz w:val="19"/>
        </w:rPr>
        <w:t xml:space="preserve"> </w:t>
      </w:r>
      <w:r>
        <w:rPr>
          <w:sz w:val="19"/>
        </w:rPr>
        <w:t>M</w:t>
      </w:r>
      <w:r>
        <w:t>ETHODOLOGY</w:t>
      </w:r>
      <w:r>
        <w:rPr>
          <w:sz w:val="19"/>
        </w:rPr>
        <w:t xml:space="preserve"> </w:t>
      </w:r>
    </w:p>
    <w:p w14:paraId="72258723" w14:textId="77777777" w:rsidR="00275CED" w:rsidRDefault="004A545C">
      <w:pPr>
        <w:spacing w:after="256" w:line="243" w:lineRule="auto"/>
        <w:ind w:left="-5" w:hanging="10"/>
      </w:pPr>
      <w:r>
        <w:rPr>
          <w:rFonts w:ascii="Times New Roman" w:eastAsia="Times New Roman" w:hAnsi="Times New Roman" w:cs="Times New Roman"/>
          <w:sz w:val="19"/>
        </w:rPr>
        <w:t xml:space="preserve">      This project treats stock prediction as a Supervised Classification problem. The goal is not to predict the exact price (regression), but to classify the state of the stock (High Risk vs. Low Risk). We chose this approach because financial regimes often cluster together; stocks behaving similarly to "high volatility" neighbors in terms of volume and price swings are likely to be volatile themselves. </w:t>
      </w:r>
    </w:p>
    <w:p w14:paraId="24BE370A" w14:textId="77777777" w:rsidR="00275CED" w:rsidRDefault="004A545C">
      <w:pPr>
        <w:numPr>
          <w:ilvl w:val="0"/>
          <w:numId w:val="1"/>
        </w:numPr>
        <w:spacing w:after="256" w:line="243" w:lineRule="auto"/>
        <w:ind w:hanging="10"/>
      </w:pPr>
      <w:r>
        <w:rPr>
          <w:rFonts w:ascii="Times New Roman" w:eastAsia="Times New Roman" w:hAnsi="Times New Roman" w:cs="Times New Roman"/>
          <w:sz w:val="19"/>
        </w:rPr>
        <w:t xml:space="preserve">Data Processing and Tools: The entire analysis pipeline is built using Python. We utilize Pandas and NumPy for data manipulation, specifically for resampling daily data into monthly volatility metrics. Seaborn and Matplotlib are used for </w:t>
      </w:r>
      <w:proofErr w:type="gramStart"/>
      <w:r>
        <w:rPr>
          <w:rFonts w:ascii="Times New Roman" w:eastAsia="Times New Roman" w:hAnsi="Times New Roman" w:cs="Times New Roman"/>
          <w:sz w:val="19"/>
        </w:rPr>
        <w:t>exploratory</w:t>
      </w:r>
      <w:proofErr w:type="gramEnd"/>
      <w:r>
        <w:rPr>
          <w:rFonts w:ascii="Times New Roman" w:eastAsia="Times New Roman" w:hAnsi="Times New Roman" w:cs="Times New Roman"/>
          <w:sz w:val="19"/>
        </w:rPr>
        <w:t xml:space="preserve"> data analysis to visualize the correlations between trading volume and price variance. </w:t>
      </w:r>
    </w:p>
    <w:p w14:paraId="30522EB6" w14:textId="77777777" w:rsidR="00275CED" w:rsidRDefault="004A545C">
      <w:pPr>
        <w:numPr>
          <w:ilvl w:val="0"/>
          <w:numId w:val="1"/>
        </w:numPr>
        <w:spacing w:after="256" w:line="243" w:lineRule="auto"/>
        <w:ind w:hanging="10"/>
      </w:pPr>
      <w:r>
        <w:rPr>
          <w:rFonts w:ascii="Times New Roman" w:eastAsia="Times New Roman" w:hAnsi="Times New Roman" w:cs="Times New Roman"/>
          <w:sz w:val="19"/>
        </w:rPr>
        <w:t xml:space="preserve">The Model (K-Nearest Neighbors): We selected the </w:t>
      </w:r>
      <w:proofErr w:type="spellStart"/>
      <w:r>
        <w:rPr>
          <w:rFonts w:ascii="Times New Roman" w:eastAsia="Times New Roman" w:hAnsi="Times New Roman" w:cs="Times New Roman"/>
          <w:sz w:val="19"/>
        </w:rPr>
        <w:t>KNearest</w:t>
      </w:r>
      <w:proofErr w:type="spellEnd"/>
      <w:r>
        <w:rPr>
          <w:rFonts w:ascii="Times New Roman" w:eastAsia="Times New Roman" w:hAnsi="Times New Roman" w:cs="Times New Roman"/>
          <w:sz w:val="19"/>
        </w:rPr>
        <w:t xml:space="preserve"> Neighbors (KNN) classifier for this task. KNN is a non-parametric method that makes predictions based on the majority class of the 'k' nearest data points in the feature space. We utilize the Scikit-Learn library to implement this model. Before training, we apply </w:t>
      </w:r>
      <w:proofErr w:type="spellStart"/>
      <w:r>
        <w:rPr>
          <w:rFonts w:ascii="Times New Roman" w:eastAsia="Times New Roman" w:hAnsi="Times New Roman" w:cs="Times New Roman"/>
          <w:sz w:val="19"/>
        </w:rPr>
        <w:t>StandardScaler</w:t>
      </w:r>
      <w:proofErr w:type="spellEnd"/>
      <w:r>
        <w:rPr>
          <w:rFonts w:ascii="Times New Roman" w:eastAsia="Times New Roman" w:hAnsi="Times New Roman" w:cs="Times New Roman"/>
          <w:sz w:val="19"/>
        </w:rPr>
        <w:t xml:space="preserve"> to normalize our input features (Volume and Daily Returns). This is a critical step because KNN calculates distances between points; if one feature has huge numbers (like Volume) and another has small numbers (like Returns),</w:t>
      </w:r>
      <w:r>
        <w:rPr>
          <w:rFonts w:ascii="Times New Roman" w:eastAsia="Times New Roman" w:hAnsi="Times New Roman" w:cs="Times New Roman"/>
          <w:sz w:val="19"/>
        </w:rPr>
        <w:t xml:space="preserve"> the model will be biased without scaling. </w:t>
      </w:r>
    </w:p>
    <w:p w14:paraId="5BD6B8CF" w14:textId="77777777" w:rsidR="00275CED" w:rsidRDefault="004A545C">
      <w:pPr>
        <w:numPr>
          <w:ilvl w:val="0"/>
          <w:numId w:val="1"/>
        </w:numPr>
        <w:spacing w:after="256" w:line="243" w:lineRule="auto"/>
        <w:ind w:hanging="10"/>
      </w:pPr>
      <w:r>
        <w:rPr>
          <w:rFonts w:ascii="Times New Roman" w:eastAsia="Times New Roman" w:hAnsi="Times New Roman" w:cs="Times New Roman"/>
          <w:sz w:val="19"/>
        </w:rPr>
        <w:t>Model Evaluation: Since identifying high-risk stocks is critical for financial safety, simple accuracy is not enough. We will evaluate the model using a Confusion Matrix to visualize exactly how many high-volatility periods we correctly predicted versus how many we missed (False Negatives). We will also generate a ROC Curve and calculate the AUC (Area Under the Curve) to measure the model's ability to distinguish between the two classes at different threshold settings. Finally, we will use a chronological s</w:t>
      </w:r>
      <w:r>
        <w:rPr>
          <w:rFonts w:ascii="Times New Roman" w:eastAsia="Times New Roman" w:hAnsi="Times New Roman" w:cs="Times New Roman"/>
          <w:sz w:val="19"/>
        </w:rPr>
        <w:t xml:space="preserve">plit for testing, ensuring we do not train the model on future data to predict the past. </w:t>
      </w:r>
    </w:p>
    <w:p w14:paraId="577CBBFB" w14:textId="77777777" w:rsidR="00275CED" w:rsidRDefault="004A545C">
      <w:pPr>
        <w:spacing w:after="171" w:line="239" w:lineRule="auto"/>
        <w:ind w:left="271"/>
        <w:jc w:val="both"/>
      </w:pPr>
      <w:r>
        <w:rPr>
          <w:rFonts w:ascii="Times New Roman" w:eastAsia="Times New Roman" w:hAnsi="Times New Roman" w:cs="Times New Roman"/>
          <w:sz w:val="19"/>
        </w:rPr>
        <w:t xml:space="preserve"> [7]. </w:t>
      </w:r>
    </w:p>
    <w:p w14:paraId="674483C4" w14:textId="77777777" w:rsidR="00275CED" w:rsidRDefault="004A545C">
      <w:pPr>
        <w:pStyle w:val="Heading2"/>
        <w:ind w:right="169"/>
      </w:pPr>
      <w:r>
        <w:rPr>
          <w:sz w:val="19"/>
        </w:rPr>
        <w:t>IV.</w:t>
      </w:r>
      <w:r>
        <w:rPr>
          <w:sz w:val="19"/>
        </w:rPr>
        <w:t xml:space="preserve"> </w:t>
      </w:r>
      <w:r>
        <w:rPr>
          <w:sz w:val="19"/>
        </w:rPr>
        <w:t>R</w:t>
      </w:r>
      <w:r>
        <w:t>ESULTS</w:t>
      </w:r>
      <w:r>
        <w:rPr>
          <w:sz w:val="19"/>
        </w:rPr>
        <w:t xml:space="preserve"> </w:t>
      </w:r>
    </w:p>
    <w:p w14:paraId="4A7FF282" w14:textId="77777777" w:rsidR="00275CED" w:rsidRDefault="004A545C">
      <w:pPr>
        <w:spacing w:after="112" w:line="228" w:lineRule="auto"/>
        <w:ind w:left="-15" w:right="-13" w:firstLine="261"/>
        <w:jc w:val="both"/>
      </w:pPr>
      <w:r>
        <w:rPr>
          <w:rFonts w:ascii="Times New Roman" w:eastAsia="Times New Roman" w:hAnsi="Times New Roman" w:cs="Times New Roman"/>
          <w:color w:val="FF0000"/>
          <w:sz w:val="19"/>
        </w:rPr>
        <w:t xml:space="preserve">In this section, present your findings using an appropriate method, such as equations, numerical summaries, or visualizations like charts and graphs. Clearly explain all results and provide guidance on how to interpret them. If any unexpected results arise, discuss possible reasons or contributing factors. To improve clarity and organization, consider using subsections (e.g., A, B) to separate different aspects of your results. </w:t>
      </w:r>
    </w:p>
    <w:p w14:paraId="29874C2E" w14:textId="77777777" w:rsidR="00275CED" w:rsidRDefault="004A545C">
      <w:pPr>
        <w:spacing w:after="121" w:line="239" w:lineRule="auto"/>
        <w:ind w:left="-15" w:firstLine="261"/>
        <w:jc w:val="both"/>
      </w:pPr>
      <w:r>
        <w:rPr>
          <w:rFonts w:ascii="Times New Roman" w:eastAsia="Times New Roman" w:hAnsi="Times New Roman" w:cs="Times New Roman"/>
          <w:sz w:val="19"/>
        </w:rPr>
        <w:t xml:space="preserve">Example: After the text edit has been completed, the paper is ready for the template. Duplicate the template file by using the Save As </w:t>
      </w:r>
      <w:proofErr w:type="gramStart"/>
      <w:r>
        <w:rPr>
          <w:rFonts w:ascii="Times New Roman" w:eastAsia="Times New Roman" w:hAnsi="Times New Roman" w:cs="Times New Roman"/>
          <w:sz w:val="19"/>
        </w:rPr>
        <w:t>command, and</w:t>
      </w:r>
      <w:proofErr w:type="gramEnd"/>
      <w:r>
        <w:rPr>
          <w:rFonts w:ascii="Times New Roman" w:eastAsia="Times New Roman" w:hAnsi="Times New Roman" w:cs="Times New Roman"/>
          <w:sz w:val="19"/>
        </w:rPr>
        <w:t xml:space="preserve"> use the naming convention prescribed by your conference for the name of your paper. In this newly created file, highlight </w:t>
      </w:r>
      <w:proofErr w:type="gramStart"/>
      <w:r>
        <w:rPr>
          <w:rFonts w:ascii="Times New Roman" w:eastAsia="Times New Roman" w:hAnsi="Times New Roman" w:cs="Times New Roman"/>
          <w:sz w:val="19"/>
        </w:rPr>
        <w:t>all of</w:t>
      </w:r>
      <w:proofErr w:type="gramEnd"/>
      <w:r>
        <w:rPr>
          <w:rFonts w:ascii="Times New Roman" w:eastAsia="Times New Roman" w:hAnsi="Times New Roman" w:cs="Times New Roman"/>
          <w:sz w:val="19"/>
        </w:rPr>
        <w:t xml:space="preserve"> the contents and import your prepared text file. You are now ready to style your paper; use the scroll down window on the left of the MS Word Formatting toolbar. </w:t>
      </w:r>
    </w:p>
    <w:p w14:paraId="46824A37" w14:textId="77777777" w:rsidR="00275CED" w:rsidRDefault="004A545C">
      <w:pPr>
        <w:pStyle w:val="Heading3"/>
        <w:ind w:left="-5"/>
      </w:pPr>
      <w:r>
        <w:t>A.</w:t>
      </w:r>
      <w:r>
        <w:t xml:space="preserve"> </w:t>
      </w:r>
      <w:r>
        <w:t xml:space="preserve">Result A </w:t>
      </w:r>
    </w:p>
    <w:p w14:paraId="0F660117" w14:textId="77777777" w:rsidR="00275CED" w:rsidRDefault="004A545C">
      <w:pPr>
        <w:spacing w:after="120" w:line="239" w:lineRule="auto"/>
        <w:ind w:left="271"/>
        <w:jc w:val="both"/>
      </w:pPr>
      <w:r>
        <w:rPr>
          <w:rFonts w:ascii="Times New Roman" w:eastAsia="Times New Roman" w:hAnsi="Times New Roman" w:cs="Times New Roman"/>
          <w:sz w:val="19"/>
        </w:rPr>
        <w:t xml:space="preserve">Example: XXX </w:t>
      </w:r>
    </w:p>
    <w:p w14:paraId="5744926A" w14:textId="77777777" w:rsidR="00275CED" w:rsidRDefault="004A545C">
      <w:pPr>
        <w:numPr>
          <w:ilvl w:val="0"/>
          <w:numId w:val="2"/>
        </w:numPr>
        <w:spacing w:after="15" w:line="239" w:lineRule="auto"/>
        <w:ind w:firstLine="261"/>
        <w:jc w:val="both"/>
      </w:pPr>
      <w:r>
        <w:rPr>
          <w:rFonts w:ascii="Times New Roman" w:eastAsia="Times New Roman" w:hAnsi="Times New Roman" w:cs="Times New Roman"/>
          <w:sz w:val="19"/>
        </w:rPr>
        <w:t xml:space="preserve">For papers with more than six authors: Add author names horizontally, moving to a third row if needed for more than 8 authors. </w:t>
      </w:r>
    </w:p>
    <w:p w14:paraId="7CB1DC26" w14:textId="77777777" w:rsidR="00275CED" w:rsidRDefault="004A545C">
      <w:pPr>
        <w:numPr>
          <w:ilvl w:val="0"/>
          <w:numId w:val="2"/>
        </w:numPr>
        <w:spacing w:after="49" w:line="239" w:lineRule="auto"/>
        <w:ind w:firstLine="261"/>
        <w:jc w:val="both"/>
      </w:pPr>
      <w:r>
        <w:rPr>
          <w:rFonts w:ascii="Times New Roman" w:eastAsia="Times New Roman" w:hAnsi="Times New Roman" w:cs="Times New Roman"/>
          <w:sz w:val="19"/>
        </w:rPr>
        <w:t xml:space="preserve">For papers with less than six authors: To change the default, adjust the template as follows. </w:t>
      </w:r>
    </w:p>
    <w:p w14:paraId="4E57905F" w14:textId="77777777" w:rsidR="00275CED" w:rsidRDefault="004A545C">
      <w:pPr>
        <w:numPr>
          <w:ilvl w:val="1"/>
          <w:numId w:val="2"/>
        </w:numPr>
        <w:spacing w:after="3"/>
        <w:ind w:firstLine="473"/>
        <w:jc w:val="right"/>
      </w:pPr>
      <w:r>
        <w:rPr>
          <w:rFonts w:ascii="Times New Roman" w:eastAsia="Times New Roman" w:hAnsi="Times New Roman" w:cs="Times New Roman"/>
          <w:sz w:val="19"/>
        </w:rPr>
        <w:t xml:space="preserve">Selection: Highlight all author and affiliation lines. </w:t>
      </w:r>
    </w:p>
    <w:p w14:paraId="104A5C04" w14:textId="77777777" w:rsidR="00275CED" w:rsidRDefault="004A545C">
      <w:pPr>
        <w:numPr>
          <w:ilvl w:val="1"/>
          <w:numId w:val="2"/>
        </w:numPr>
        <w:spacing w:after="43" w:line="239" w:lineRule="auto"/>
        <w:ind w:firstLine="473"/>
        <w:jc w:val="right"/>
      </w:pPr>
      <w:r>
        <w:rPr>
          <w:rFonts w:ascii="Times New Roman" w:eastAsia="Times New Roman" w:hAnsi="Times New Roman" w:cs="Times New Roman"/>
          <w:sz w:val="19"/>
        </w:rPr>
        <w:t xml:space="preserve">Change number of columns: Select the Columns icon from the MS Word Standard toolbar and then select the correct number of columns from the selection palette. </w:t>
      </w:r>
    </w:p>
    <w:p w14:paraId="0FB8AE38" w14:textId="77777777" w:rsidR="00275CED" w:rsidRDefault="004A545C">
      <w:pPr>
        <w:numPr>
          <w:ilvl w:val="1"/>
          <w:numId w:val="2"/>
        </w:numPr>
        <w:spacing w:after="3"/>
        <w:ind w:firstLine="473"/>
        <w:jc w:val="right"/>
      </w:pPr>
      <w:r>
        <w:rPr>
          <w:rFonts w:ascii="Times New Roman" w:eastAsia="Times New Roman" w:hAnsi="Times New Roman" w:cs="Times New Roman"/>
          <w:sz w:val="19"/>
        </w:rPr>
        <w:t xml:space="preserve">Deletion: Delete the author and affiliation lines for </w:t>
      </w:r>
    </w:p>
    <w:p w14:paraId="3B0046A1" w14:textId="77777777" w:rsidR="00275CED" w:rsidRDefault="004A545C">
      <w:pPr>
        <w:spacing w:after="117" w:line="239" w:lineRule="auto"/>
        <w:ind w:left="-15"/>
        <w:jc w:val="both"/>
      </w:pPr>
      <w:r>
        <w:rPr>
          <w:rFonts w:ascii="Times New Roman" w:eastAsia="Times New Roman" w:hAnsi="Times New Roman" w:cs="Times New Roman"/>
          <w:sz w:val="19"/>
        </w:rPr>
        <w:t xml:space="preserve">the extra authors. </w:t>
      </w:r>
    </w:p>
    <w:p w14:paraId="14A24F61" w14:textId="77777777" w:rsidR="00275CED" w:rsidRDefault="004A545C">
      <w:pPr>
        <w:pStyle w:val="Heading3"/>
        <w:ind w:left="-5"/>
      </w:pPr>
      <w:r>
        <w:t>B.</w:t>
      </w:r>
      <w:r>
        <w:t xml:space="preserve"> </w:t>
      </w:r>
      <w:r>
        <w:t xml:space="preserve">Results B </w:t>
      </w:r>
    </w:p>
    <w:p w14:paraId="31CBFB41" w14:textId="77777777" w:rsidR="00275CED" w:rsidRDefault="004A545C">
      <w:pPr>
        <w:spacing w:after="118" w:line="239" w:lineRule="auto"/>
        <w:ind w:left="-15" w:firstLine="261"/>
        <w:jc w:val="both"/>
      </w:pPr>
      <w:r>
        <w:rPr>
          <w:rFonts w:ascii="Times New Roman" w:eastAsia="Times New Roman" w:hAnsi="Times New Roman" w:cs="Times New Roman"/>
          <w:sz w:val="19"/>
        </w:rPr>
        <w:t xml:space="preserve">Example: Headings, or heads, are organizational devices that guide the reader through your paper. There are two types: component heads and text heads. </w:t>
      </w:r>
    </w:p>
    <w:p w14:paraId="7972BD3C" w14:textId="77777777" w:rsidR="00275CED" w:rsidRDefault="004A545C">
      <w:pPr>
        <w:pStyle w:val="Heading3"/>
        <w:ind w:left="-5"/>
      </w:pPr>
      <w:r>
        <w:t>C.</w:t>
      </w:r>
      <w:r>
        <w:t xml:space="preserve"> </w:t>
      </w:r>
      <w:r>
        <w:t xml:space="preserve">Results C  </w:t>
      </w:r>
    </w:p>
    <w:p w14:paraId="41D291B8" w14:textId="77777777" w:rsidR="00275CED" w:rsidRDefault="004A545C">
      <w:pPr>
        <w:spacing w:after="207" w:line="239" w:lineRule="auto"/>
        <w:ind w:left="-15" w:firstLine="473"/>
        <w:jc w:val="both"/>
      </w:pPr>
      <w:r>
        <w:rPr>
          <w:rFonts w:ascii="Times New Roman" w:eastAsia="Times New Roman" w:hAnsi="Times New Roman" w:cs="Times New Roman"/>
          <w:sz w:val="19"/>
        </w:rPr>
        <w:t>a</w:t>
      </w:r>
      <w:proofErr w:type="gramStart"/>
      <w:r>
        <w:rPr>
          <w:rFonts w:ascii="Times New Roman" w:eastAsia="Times New Roman" w:hAnsi="Times New Roman" w:cs="Times New Roman"/>
          <w:sz w:val="19"/>
        </w:rPr>
        <w:t>)  Positioning</w:t>
      </w:r>
      <w:proofErr w:type="gramEnd"/>
      <w:r>
        <w:rPr>
          <w:rFonts w:ascii="Times New Roman" w:eastAsia="Times New Roman" w:hAnsi="Times New Roman" w:cs="Times New Roman"/>
          <w:sz w:val="19"/>
        </w:rPr>
        <w:t xml:space="preserve"> Figures and Tables: 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 </w:t>
      </w:r>
    </w:p>
    <w:p w14:paraId="462D217A" w14:textId="77777777" w:rsidR="00275CED" w:rsidRDefault="004A545C">
      <w:pPr>
        <w:tabs>
          <w:tab w:val="center" w:pos="1454"/>
          <w:tab w:val="center" w:pos="2794"/>
        </w:tabs>
        <w:spacing w:after="0"/>
      </w:pPr>
      <w:r>
        <w:tab/>
      </w:r>
      <w:r>
        <w:rPr>
          <w:rFonts w:ascii="Times New Roman" w:eastAsia="Times New Roman" w:hAnsi="Times New Roman" w:cs="Times New Roman"/>
          <w:sz w:val="15"/>
        </w:rPr>
        <w:t xml:space="preserve">TABLE I.  </w:t>
      </w:r>
      <w:r>
        <w:rPr>
          <w:rFonts w:ascii="Times New Roman" w:eastAsia="Times New Roman" w:hAnsi="Times New Roman" w:cs="Times New Roman"/>
          <w:sz w:val="15"/>
        </w:rPr>
        <w:tab/>
        <w:t>T</w:t>
      </w:r>
      <w:r>
        <w:rPr>
          <w:rFonts w:ascii="Times New Roman" w:eastAsia="Times New Roman" w:hAnsi="Times New Roman" w:cs="Times New Roman"/>
          <w:sz w:val="12"/>
        </w:rPr>
        <w:t xml:space="preserve">ABLE </w:t>
      </w:r>
      <w:r>
        <w:rPr>
          <w:rFonts w:ascii="Times New Roman" w:eastAsia="Times New Roman" w:hAnsi="Times New Roman" w:cs="Times New Roman"/>
          <w:sz w:val="15"/>
        </w:rPr>
        <w:t>T</w:t>
      </w:r>
      <w:r>
        <w:rPr>
          <w:rFonts w:ascii="Times New Roman" w:eastAsia="Times New Roman" w:hAnsi="Times New Roman" w:cs="Times New Roman"/>
          <w:sz w:val="12"/>
        </w:rPr>
        <w:t xml:space="preserve">YPE </w:t>
      </w:r>
      <w:r>
        <w:rPr>
          <w:rFonts w:ascii="Times New Roman" w:eastAsia="Times New Roman" w:hAnsi="Times New Roman" w:cs="Times New Roman"/>
          <w:sz w:val="15"/>
        </w:rPr>
        <w:t>S</w:t>
      </w:r>
      <w:r>
        <w:rPr>
          <w:rFonts w:ascii="Times New Roman" w:eastAsia="Times New Roman" w:hAnsi="Times New Roman" w:cs="Times New Roman"/>
          <w:sz w:val="12"/>
        </w:rPr>
        <w:t>TYLES</w:t>
      </w:r>
      <w:r>
        <w:rPr>
          <w:rFonts w:ascii="Times New Roman" w:eastAsia="Times New Roman" w:hAnsi="Times New Roman" w:cs="Times New Roman"/>
          <w:sz w:val="15"/>
        </w:rPr>
        <w:t xml:space="preserve"> </w:t>
      </w:r>
    </w:p>
    <w:tbl>
      <w:tblPr>
        <w:tblStyle w:val="TableGrid"/>
        <w:tblW w:w="4567" w:type="dxa"/>
        <w:tblInd w:w="5" w:type="dxa"/>
        <w:tblCellMar>
          <w:top w:w="67" w:type="dxa"/>
          <w:left w:w="101" w:type="dxa"/>
          <w:bottom w:w="0" w:type="dxa"/>
          <w:right w:w="115" w:type="dxa"/>
        </w:tblCellMar>
        <w:tblLook w:val="04A0" w:firstRow="1" w:lastRow="0" w:firstColumn="1" w:lastColumn="0" w:noHBand="0" w:noVBand="1"/>
      </w:tblPr>
      <w:tblGrid>
        <w:gridCol w:w="677"/>
        <w:gridCol w:w="2197"/>
        <w:gridCol w:w="848"/>
        <w:gridCol w:w="845"/>
      </w:tblGrid>
      <w:tr w:rsidR="00275CED" w14:paraId="37332DF2" w14:textId="77777777">
        <w:trPr>
          <w:trHeight w:val="230"/>
        </w:trPr>
        <w:tc>
          <w:tcPr>
            <w:tcW w:w="677" w:type="dxa"/>
            <w:vMerge w:val="restart"/>
            <w:tcBorders>
              <w:top w:val="single" w:sz="2" w:space="0" w:color="000000"/>
              <w:left w:val="single" w:sz="2" w:space="0" w:color="000000"/>
              <w:bottom w:val="single" w:sz="2" w:space="0" w:color="000000"/>
              <w:right w:val="single" w:sz="2" w:space="0" w:color="000000"/>
            </w:tcBorders>
          </w:tcPr>
          <w:p w14:paraId="4C6A12CC" w14:textId="77777777" w:rsidR="00275CED" w:rsidRDefault="004A545C">
            <w:pPr>
              <w:spacing w:after="0"/>
              <w:jc w:val="center"/>
            </w:pPr>
            <w:r>
              <w:rPr>
                <w:rFonts w:ascii="Times New Roman" w:eastAsia="Times New Roman" w:hAnsi="Times New Roman" w:cs="Times New Roman"/>
                <w:sz w:val="15"/>
              </w:rPr>
              <w:t xml:space="preserve">Table Head </w:t>
            </w:r>
          </w:p>
        </w:tc>
        <w:tc>
          <w:tcPr>
            <w:tcW w:w="3046" w:type="dxa"/>
            <w:gridSpan w:val="2"/>
            <w:tcBorders>
              <w:top w:val="single" w:sz="2" w:space="0" w:color="000000"/>
              <w:left w:val="single" w:sz="2" w:space="0" w:color="000000"/>
              <w:bottom w:val="single" w:sz="2" w:space="0" w:color="000000"/>
              <w:right w:val="nil"/>
            </w:tcBorders>
          </w:tcPr>
          <w:p w14:paraId="1C5FEEE8" w14:textId="77777777" w:rsidR="00275CED" w:rsidRDefault="004A545C">
            <w:pPr>
              <w:spacing w:after="0"/>
              <w:ind w:left="1190"/>
            </w:pPr>
            <w:r>
              <w:rPr>
                <w:rFonts w:ascii="Times New Roman" w:eastAsia="Times New Roman" w:hAnsi="Times New Roman" w:cs="Times New Roman"/>
                <w:sz w:val="15"/>
              </w:rPr>
              <w:t xml:space="preserve">Table Column Head </w:t>
            </w:r>
          </w:p>
        </w:tc>
        <w:tc>
          <w:tcPr>
            <w:tcW w:w="845" w:type="dxa"/>
            <w:tcBorders>
              <w:top w:val="single" w:sz="2" w:space="0" w:color="000000"/>
              <w:left w:val="nil"/>
              <w:bottom w:val="single" w:sz="2" w:space="0" w:color="000000"/>
              <w:right w:val="single" w:sz="2" w:space="0" w:color="000000"/>
            </w:tcBorders>
          </w:tcPr>
          <w:p w14:paraId="275D091C" w14:textId="77777777" w:rsidR="00275CED" w:rsidRDefault="00275CED"/>
        </w:tc>
      </w:tr>
      <w:tr w:rsidR="00275CED" w14:paraId="1F73D892" w14:textId="77777777">
        <w:trPr>
          <w:trHeight w:val="230"/>
        </w:trPr>
        <w:tc>
          <w:tcPr>
            <w:tcW w:w="0" w:type="auto"/>
            <w:vMerge/>
            <w:tcBorders>
              <w:top w:val="nil"/>
              <w:left w:val="single" w:sz="2" w:space="0" w:color="000000"/>
              <w:bottom w:val="single" w:sz="2" w:space="0" w:color="000000"/>
              <w:right w:val="single" w:sz="2" w:space="0" w:color="000000"/>
            </w:tcBorders>
          </w:tcPr>
          <w:p w14:paraId="41766E49" w14:textId="77777777" w:rsidR="00275CED" w:rsidRDefault="00275CED"/>
        </w:tc>
        <w:tc>
          <w:tcPr>
            <w:tcW w:w="2198" w:type="dxa"/>
            <w:tcBorders>
              <w:top w:val="single" w:sz="2" w:space="0" w:color="000000"/>
              <w:left w:val="single" w:sz="2" w:space="0" w:color="000000"/>
              <w:bottom w:val="single" w:sz="2" w:space="0" w:color="000000"/>
              <w:right w:val="single" w:sz="2" w:space="0" w:color="000000"/>
            </w:tcBorders>
          </w:tcPr>
          <w:p w14:paraId="7771CA65" w14:textId="77777777" w:rsidR="00275CED" w:rsidRDefault="004A545C">
            <w:pPr>
              <w:spacing w:after="0"/>
              <w:ind w:left="15"/>
              <w:jc w:val="center"/>
            </w:pPr>
            <w:r>
              <w:rPr>
                <w:rFonts w:ascii="Times New Roman" w:eastAsia="Times New Roman" w:hAnsi="Times New Roman" w:cs="Times New Roman"/>
                <w:sz w:val="14"/>
              </w:rPr>
              <w:t xml:space="preserve">Table column subhead </w:t>
            </w:r>
          </w:p>
        </w:tc>
        <w:tc>
          <w:tcPr>
            <w:tcW w:w="847" w:type="dxa"/>
            <w:tcBorders>
              <w:top w:val="single" w:sz="2" w:space="0" w:color="000000"/>
              <w:left w:val="single" w:sz="2" w:space="0" w:color="000000"/>
              <w:bottom w:val="single" w:sz="2" w:space="0" w:color="000000"/>
              <w:right w:val="single" w:sz="2" w:space="0" w:color="000000"/>
            </w:tcBorders>
          </w:tcPr>
          <w:p w14:paraId="636E89C3" w14:textId="77777777" w:rsidR="00275CED" w:rsidRDefault="004A545C">
            <w:pPr>
              <w:spacing w:after="0"/>
              <w:ind w:left="10"/>
              <w:jc w:val="center"/>
            </w:pPr>
            <w:r>
              <w:rPr>
                <w:rFonts w:ascii="Times New Roman" w:eastAsia="Times New Roman" w:hAnsi="Times New Roman" w:cs="Times New Roman"/>
                <w:sz w:val="14"/>
              </w:rPr>
              <w:t xml:space="preserve">Subhead </w:t>
            </w:r>
          </w:p>
        </w:tc>
        <w:tc>
          <w:tcPr>
            <w:tcW w:w="845" w:type="dxa"/>
            <w:tcBorders>
              <w:top w:val="single" w:sz="2" w:space="0" w:color="000000"/>
              <w:left w:val="single" w:sz="2" w:space="0" w:color="000000"/>
              <w:bottom w:val="single" w:sz="2" w:space="0" w:color="000000"/>
              <w:right w:val="single" w:sz="2" w:space="0" w:color="000000"/>
            </w:tcBorders>
          </w:tcPr>
          <w:p w14:paraId="22A7EE76" w14:textId="77777777" w:rsidR="00275CED" w:rsidRDefault="004A545C">
            <w:pPr>
              <w:spacing w:after="0"/>
              <w:ind w:left="8"/>
              <w:jc w:val="center"/>
            </w:pPr>
            <w:r>
              <w:rPr>
                <w:rFonts w:ascii="Times New Roman" w:eastAsia="Times New Roman" w:hAnsi="Times New Roman" w:cs="Times New Roman"/>
                <w:sz w:val="14"/>
              </w:rPr>
              <w:t xml:space="preserve">Subhead </w:t>
            </w:r>
          </w:p>
        </w:tc>
      </w:tr>
      <w:tr w:rsidR="00275CED" w14:paraId="4B818723" w14:textId="77777777">
        <w:trPr>
          <w:trHeight w:val="307"/>
        </w:trPr>
        <w:tc>
          <w:tcPr>
            <w:tcW w:w="677" w:type="dxa"/>
            <w:tcBorders>
              <w:top w:val="single" w:sz="2" w:space="0" w:color="000000"/>
              <w:left w:val="single" w:sz="2" w:space="0" w:color="000000"/>
              <w:bottom w:val="single" w:sz="2" w:space="0" w:color="000000"/>
              <w:right w:val="single" w:sz="2" w:space="0" w:color="000000"/>
            </w:tcBorders>
          </w:tcPr>
          <w:p w14:paraId="3A481941" w14:textId="77777777" w:rsidR="00275CED" w:rsidRDefault="004A545C">
            <w:pPr>
              <w:spacing w:after="0"/>
            </w:pPr>
            <w:r>
              <w:rPr>
                <w:rFonts w:ascii="Times New Roman" w:eastAsia="Times New Roman" w:hAnsi="Times New Roman" w:cs="Times New Roman"/>
                <w:sz w:val="15"/>
              </w:rPr>
              <w:t>copy</w:t>
            </w:r>
            <w:r>
              <w:rPr>
                <w:rFonts w:ascii="Times New Roman" w:eastAsia="Times New Roman" w:hAnsi="Times New Roman" w:cs="Times New Roman"/>
                <w:sz w:val="7"/>
              </w:rPr>
              <w:t xml:space="preserve"> </w:t>
            </w:r>
          </w:p>
        </w:tc>
        <w:tc>
          <w:tcPr>
            <w:tcW w:w="2198" w:type="dxa"/>
            <w:tcBorders>
              <w:top w:val="single" w:sz="2" w:space="0" w:color="000000"/>
              <w:left w:val="single" w:sz="2" w:space="0" w:color="000000"/>
              <w:bottom w:val="single" w:sz="2" w:space="0" w:color="000000"/>
              <w:right w:val="single" w:sz="2" w:space="0" w:color="000000"/>
            </w:tcBorders>
          </w:tcPr>
          <w:p w14:paraId="7AFD9FA3" w14:textId="77777777" w:rsidR="00275CED" w:rsidRDefault="004A545C">
            <w:pPr>
              <w:spacing w:after="0"/>
            </w:pPr>
            <w:r>
              <w:rPr>
                <w:rFonts w:ascii="Times New Roman" w:eastAsia="Times New Roman" w:hAnsi="Times New Roman" w:cs="Times New Roman"/>
                <w:sz w:val="15"/>
              </w:rPr>
              <w:t xml:space="preserve">More table </w:t>
            </w:r>
            <w:proofErr w:type="spellStart"/>
            <w:r>
              <w:rPr>
                <w:rFonts w:ascii="Times New Roman" w:eastAsia="Times New Roman" w:hAnsi="Times New Roman" w:cs="Times New Roman"/>
                <w:sz w:val="15"/>
              </w:rPr>
              <w:t>copy</w:t>
            </w:r>
            <w:r>
              <w:rPr>
                <w:rFonts w:ascii="Times New Roman" w:eastAsia="Times New Roman" w:hAnsi="Times New Roman" w:cs="Times New Roman"/>
                <w:sz w:val="15"/>
                <w:vertAlign w:val="superscript"/>
              </w:rPr>
              <w:t>a</w:t>
            </w:r>
            <w:proofErr w:type="spellEnd"/>
            <w:r>
              <w:rPr>
                <w:rFonts w:ascii="Times New Roman" w:eastAsia="Times New Roman" w:hAnsi="Times New Roman" w:cs="Times New Roman"/>
                <w:sz w:val="15"/>
              </w:rPr>
              <w:t xml:space="preserve"> </w:t>
            </w:r>
          </w:p>
        </w:tc>
        <w:tc>
          <w:tcPr>
            <w:tcW w:w="847" w:type="dxa"/>
            <w:tcBorders>
              <w:top w:val="single" w:sz="2" w:space="0" w:color="000000"/>
              <w:left w:val="single" w:sz="2" w:space="0" w:color="000000"/>
              <w:bottom w:val="single" w:sz="2" w:space="0" w:color="000000"/>
              <w:right w:val="single" w:sz="2" w:space="0" w:color="000000"/>
            </w:tcBorders>
          </w:tcPr>
          <w:p w14:paraId="6EE225ED" w14:textId="77777777" w:rsidR="00275CED" w:rsidRDefault="004A545C">
            <w:pPr>
              <w:spacing w:after="0"/>
              <w:ind w:left="48"/>
              <w:jc w:val="center"/>
            </w:pPr>
            <w:r>
              <w:rPr>
                <w:rFonts w:ascii="Times New Roman" w:eastAsia="Times New Roman" w:hAnsi="Times New Roman" w:cs="Times New Roman"/>
                <w:sz w:val="15"/>
              </w:rPr>
              <w:t xml:space="preserve"> </w:t>
            </w:r>
          </w:p>
        </w:tc>
        <w:tc>
          <w:tcPr>
            <w:tcW w:w="845" w:type="dxa"/>
            <w:tcBorders>
              <w:top w:val="single" w:sz="2" w:space="0" w:color="000000"/>
              <w:left w:val="single" w:sz="2" w:space="0" w:color="000000"/>
              <w:bottom w:val="single" w:sz="2" w:space="0" w:color="000000"/>
              <w:right w:val="single" w:sz="2" w:space="0" w:color="000000"/>
            </w:tcBorders>
          </w:tcPr>
          <w:p w14:paraId="74D5DCB8" w14:textId="77777777" w:rsidR="00275CED" w:rsidRDefault="004A545C">
            <w:pPr>
              <w:spacing w:after="0"/>
              <w:ind w:left="46"/>
              <w:jc w:val="center"/>
            </w:pPr>
            <w:r>
              <w:rPr>
                <w:rFonts w:ascii="Times New Roman" w:eastAsia="Times New Roman" w:hAnsi="Times New Roman" w:cs="Times New Roman"/>
                <w:sz w:val="15"/>
              </w:rPr>
              <w:t xml:space="preserve"> </w:t>
            </w:r>
          </w:p>
        </w:tc>
      </w:tr>
    </w:tbl>
    <w:p w14:paraId="432A3324" w14:textId="77777777" w:rsidR="00275CED" w:rsidRDefault="004A545C">
      <w:pPr>
        <w:spacing w:after="80"/>
        <w:jc w:val="right"/>
      </w:pPr>
      <w:r>
        <w:rPr>
          <w:rFonts w:ascii="Times New Roman" w:eastAsia="Times New Roman" w:hAnsi="Times New Roman" w:cs="Times New Roman"/>
          <w:sz w:val="15"/>
          <w:vertAlign w:val="superscript"/>
        </w:rPr>
        <w:t>a.</w:t>
      </w:r>
      <w:r>
        <w:rPr>
          <w:rFonts w:ascii="Times New Roman" w:eastAsia="Times New Roman" w:hAnsi="Times New Roman" w:cs="Times New Roman"/>
          <w:sz w:val="15"/>
        </w:rPr>
        <w:t xml:space="preserve"> </w:t>
      </w:r>
      <w:r>
        <w:rPr>
          <w:rFonts w:ascii="Times New Roman" w:eastAsia="Times New Roman" w:hAnsi="Times New Roman" w:cs="Times New Roman"/>
          <w:sz w:val="11"/>
        </w:rPr>
        <w:t xml:space="preserve">Sample of a Table footnote. (Table footnote) </w:t>
      </w:r>
    </w:p>
    <w:p w14:paraId="44F8B55C" w14:textId="77777777" w:rsidR="00275CED" w:rsidRDefault="004A545C">
      <w:pPr>
        <w:spacing w:after="212" w:line="232" w:lineRule="auto"/>
        <w:ind w:left="-15"/>
        <w:jc w:val="both"/>
      </w:pPr>
      <w:r>
        <w:rPr>
          <w:rFonts w:ascii="Times New Roman" w:eastAsia="Times New Roman" w:hAnsi="Times New Roman" w:cs="Times New Roman"/>
          <w:sz w:val="15"/>
        </w:rPr>
        <w:t xml:space="preserve">Fig. 1. Example of a figure caption. (figure caption) </w:t>
      </w:r>
    </w:p>
    <w:p w14:paraId="145256A0" w14:textId="77777777" w:rsidR="00275CED" w:rsidRDefault="004A545C">
      <w:pPr>
        <w:spacing w:after="0" w:line="239" w:lineRule="auto"/>
        <w:ind w:left="-15" w:firstLine="261"/>
        <w:jc w:val="both"/>
      </w:pPr>
      <w:r>
        <w:rPr>
          <w:rFonts w:ascii="Times New Roman" w:eastAsia="Times New Roman" w:hAnsi="Times New Roman" w:cs="Times New Roman"/>
          <w:sz w:val="19"/>
        </w:rPr>
        <w:t xml:space="preserve">Figure Labels: Use </w:t>
      </w:r>
      <w:proofErr w:type="gramStart"/>
      <w:r>
        <w:rPr>
          <w:rFonts w:ascii="Times New Roman" w:eastAsia="Times New Roman" w:hAnsi="Times New Roman" w:cs="Times New Roman"/>
          <w:sz w:val="19"/>
        </w:rPr>
        <w:t>8 point</w:t>
      </w:r>
      <w:proofErr w:type="gramEnd"/>
      <w:r>
        <w:rPr>
          <w:rFonts w:ascii="Times New Roman" w:eastAsia="Times New Roman" w:hAnsi="Times New Roman" w:cs="Times New Roman"/>
          <w:sz w:val="19"/>
        </w:rPr>
        <w:t xml:space="preserve"> Times New Roman for Figure labels. Use words rather than symbols or abbreviations when writing Figure axis labels to avoid confusing the reader. As an example, write the quantity “Magnetization”, or </w:t>
      </w:r>
    </w:p>
    <w:p w14:paraId="35D2078D" w14:textId="77777777" w:rsidR="00275CED" w:rsidRDefault="004A545C">
      <w:pPr>
        <w:spacing w:after="171" w:line="239" w:lineRule="auto"/>
        <w:ind w:left="-15"/>
        <w:jc w:val="both"/>
      </w:pPr>
      <w:r>
        <w:rPr>
          <w:rFonts w:ascii="Times New Roman" w:eastAsia="Times New Roman" w:hAnsi="Times New Roman" w:cs="Times New Roman"/>
          <w:sz w:val="19"/>
        </w:rPr>
        <w:t>“Magnetization, M”, not just “M”. If including units in the label, present them within parentheses. Do not label axes only with units. In the example, write “Magnetization (A/m)” or “Magnetization {A[</w:t>
      </w:r>
      <w:proofErr w:type="gramStart"/>
      <w:r>
        <w:rPr>
          <w:rFonts w:ascii="Times New Roman" w:eastAsia="Times New Roman" w:hAnsi="Times New Roman" w:cs="Times New Roman"/>
          <w:sz w:val="19"/>
        </w:rPr>
        <w:t>m(</w:t>
      </w:r>
      <w:proofErr w:type="gramEnd"/>
      <w:r>
        <w:rPr>
          <w:rFonts w:ascii="Times New Roman" w:eastAsia="Times New Roman" w:hAnsi="Times New Roman" w:cs="Times New Roman"/>
          <w:sz w:val="19"/>
        </w:rPr>
        <w:t xml:space="preserve">1)]}”, not just “A/m”. Do not label axes with a ratio of quantities and units. For example, write “Temperature (K)”, not “Temperature/K”. </w:t>
      </w:r>
    </w:p>
    <w:p w14:paraId="55787461" w14:textId="77777777" w:rsidR="00275CED" w:rsidRDefault="004A545C">
      <w:pPr>
        <w:pStyle w:val="Heading2"/>
      </w:pPr>
      <w:r>
        <w:rPr>
          <w:sz w:val="19"/>
        </w:rPr>
        <w:t>V.</w:t>
      </w:r>
      <w:r>
        <w:rPr>
          <w:sz w:val="19"/>
        </w:rPr>
        <w:t xml:space="preserve"> </w:t>
      </w:r>
      <w:r>
        <w:rPr>
          <w:sz w:val="19"/>
        </w:rPr>
        <w:t>D</w:t>
      </w:r>
      <w:r>
        <w:t>ISCUSSION</w:t>
      </w:r>
      <w:r>
        <w:rPr>
          <w:sz w:val="19"/>
        </w:rPr>
        <w:t xml:space="preserve"> </w:t>
      </w:r>
    </w:p>
    <w:p w14:paraId="09158402" w14:textId="77777777" w:rsidR="00275CED" w:rsidRDefault="004A545C">
      <w:pPr>
        <w:spacing w:after="112" w:line="228" w:lineRule="auto"/>
        <w:ind w:left="-15" w:right="-13" w:firstLine="261"/>
        <w:jc w:val="both"/>
      </w:pPr>
      <w:r>
        <w:rPr>
          <w:rFonts w:ascii="Times New Roman" w:eastAsia="Times New Roman" w:hAnsi="Times New Roman" w:cs="Times New Roman"/>
          <w:color w:val="FF0000"/>
          <w:sz w:val="19"/>
        </w:rPr>
        <w:t xml:space="preserve">Every method/project has its shortage or weakness. Please discuss the unsatisfied results in your project. And discuss the feasible suggestions of future work to revise/improve your result. </w:t>
      </w:r>
    </w:p>
    <w:p w14:paraId="1976013E" w14:textId="77777777" w:rsidR="00275CED" w:rsidRDefault="004A545C">
      <w:pPr>
        <w:spacing w:after="171" w:line="239" w:lineRule="auto"/>
        <w:ind w:left="271"/>
        <w:jc w:val="both"/>
      </w:pPr>
      <w:r>
        <w:rPr>
          <w:rFonts w:ascii="Times New Roman" w:eastAsia="Times New Roman" w:hAnsi="Times New Roman" w:cs="Times New Roman"/>
          <w:sz w:val="19"/>
        </w:rPr>
        <w:t xml:space="preserve">Example: xxx </w:t>
      </w:r>
    </w:p>
    <w:p w14:paraId="5F1A6A0F" w14:textId="77777777" w:rsidR="00275CED" w:rsidRDefault="004A545C">
      <w:pPr>
        <w:pStyle w:val="Heading2"/>
        <w:ind w:right="127"/>
      </w:pPr>
      <w:r>
        <w:rPr>
          <w:sz w:val="19"/>
        </w:rPr>
        <w:t>VI.</w:t>
      </w:r>
      <w:r>
        <w:rPr>
          <w:sz w:val="19"/>
        </w:rPr>
        <w:t xml:space="preserve"> </w:t>
      </w:r>
      <w:r>
        <w:rPr>
          <w:sz w:val="19"/>
        </w:rPr>
        <w:t>C</w:t>
      </w:r>
      <w:r>
        <w:t>ONCLUSION</w:t>
      </w:r>
      <w:r>
        <w:rPr>
          <w:sz w:val="19"/>
        </w:rPr>
        <w:t xml:space="preserve"> </w:t>
      </w:r>
    </w:p>
    <w:p w14:paraId="1363A6AE" w14:textId="77777777" w:rsidR="00275CED" w:rsidRDefault="004A545C">
      <w:pPr>
        <w:spacing w:after="112" w:line="228" w:lineRule="auto"/>
        <w:ind w:left="-15" w:right="-13" w:firstLine="261"/>
        <w:jc w:val="both"/>
      </w:pPr>
      <w:r>
        <w:rPr>
          <w:rFonts w:ascii="Times New Roman" w:eastAsia="Times New Roman" w:hAnsi="Times New Roman" w:cs="Times New Roman"/>
          <w:color w:val="FF0000"/>
          <w:sz w:val="19"/>
        </w:rPr>
        <w:t xml:space="preserve">In this part, you should summarize your project. What important results did you find for your topic and what’s the effect of this result on the </w:t>
      </w:r>
      <w:proofErr w:type="gramStart"/>
      <w:r>
        <w:rPr>
          <w:rFonts w:ascii="Times New Roman" w:eastAsia="Times New Roman" w:hAnsi="Times New Roman" w:cs="Times New Roman"/>
          <w:color w:val="FF0000"/>
          <w:sz w:val="19"/>
        </w:rPr>
        <w:t>real-world</w:t>
      </w:r>
      <w:proofErr w:type="gramEnd"/>
      <w:r>
        <w:rPr>
          <w:rFonts w:ascii="Times New Roman" w:eastAsia="Times New Roman" w:hAnsi="Times New Roman" w:cs="Times New Roman"/>
          <w:color w:val="FF0000"/>
          <w:sz w:val="19"/>
        </w:rPr>
        <w:t>?</w:t>
      </w:r>
      <w:r>
        <w:rPr>
          <w:rFonts w:ascii="Times New Roman" w:eastAsia="Times New Roman" w:hAnsi="Times New Roman" w:cs="Times New Roman"/>
          <w:color w:val="FF0000"/>
          <w:sz w:val="15"/>
        </w:rPr>
        <w:t xml:space="preserve"> </w:t>
      </w:r>
      <w:r>
        <w:rPr>
          <w:rFonts w:ascii="Times New Roman" w:eastAsia="Times New Roman" w:hAnsi="Times New Roman" w:cs="Times New Roman"/>
          <w:color w:val="FF0000"/>
          <w:sz w:val="19"/>
        </w:rPr>
        <w:t xml:space="preserve"> </w:t>
      </w:r>
    </w:p>
    <w:p w14:paraId="70FE23E5" w14:textId="77777777" w:rsidR="00275CED" w:rsidRDefault="004A545C">
      <w:pPr>
        <w:spacing w:after="171" w:line="239" w:lineRule="auto"/>
        <w:ind w:left="271"/>
        <w:jc w:val="both"/>
      </w:pPr>
      <w:r>
        <w:rPr>
          <w:rFonts w:ascii="Times New Roman" w:eastAsia="Times New Roman" w:hAnsi="Times New Roman" w:cs="Times New Roman"/>
          <w:sz w:val="19"/>
        </w:rPr>
        <w:t xml:space="preserve">Example: xxx </w:t>
      </w:r>
    </w:p>
    <w:p w14:paraId="60B3FB5B" w14:textId="77777777" w:rsidR="00275CED" w:rsidRDefault="004A545C">
      <w:pPr>
        <w:pStyle w:val="Heading3"/>
        <w:spacing w:after="52" w:line="261" w:lineRule="auto"/>
        <w:jc w:val="center"/>
      </w:pPr>
      <w:r>
        <w:lastRenderedPageBreak/>
        <w:t>A</w:t>
      </w:r>
      <w:r>
        <w:rPr>
          <w:sz w:val="15"/>
        </w:rPr>
        <w:t xml:space="preserve">CKNOWLEDGMENT </w:t>
      </w:r>
      <w:r>
        <w:t>(Heading 5)</w:t>
      </w:r>
      <w:r>
        <w:t xml:space="preserve"> </w:t>
      </w:r>
    </w:p>
    <w:p w14:paraId="73BEB2F0" w14:textId="77777777" w:rsidR="00275CED" w:rsidRDefault="004A545C">
      <w:pPr>
        <w:spacing w:after="171" w:line="239" w:lineRule="auto"/>
        <w:ind w:left="-15" w:firstLine="261"/>
        <w:jc w:val="both"/>
      </w:pPr>
      <w:r>
        <w:rPr>
          <w:rFonts w:ascii="Times New Roman" w:eastAsia="Times New Roman" w:hAnsi="Times New Roman" w:cs="Times New Roman"/>
          <w:sz w:val="19"/>
        </w:rPr>
        <w:t xml:space="preserve">The preferred spelling of the word “acknowledgment” in America is without an “e” after the “g”. Avoid the stilted expression “one of us (R. B. G.) thanks ...”.  Instead, try “R. B. G. thanks...”. Put sponsor acknowledgments in the unnumbered footnote on the first page. </w:t>
      </w:r>
    </w:p>
    <w:p w14:paraId="75E39C11" w14:textId="77777777" w:rsidR="00275CED" w:rsidRDefault="004A545C">
      <w:pPr>
        <w:pStyle w:val="Heading3"/>
        <w:spacing w:after="52" w:line="261" w:lineRule="auto"/>
        <w:jc w:val="center"/>
      </w:pPr>
      <w:r>
        <w:t>R</w:t>
      </w:r>
      <w:r>
        <w:rPr>
          <w:sz w:val="15"/>
        </w:rPr>
        <w:t>EFERENCES</w:t>
      </w:r>
      <w:r>
        <w:t xml:space="preserve"> </w:t>
      </w:r>
    </w:p>
    <w:p w14:paraId="37E7342F" w14:textId="77777777" w:rsidR="00275CED" w:rsidRDefault="004A545C">
      <w:pPr>
        <w:spacing w:after="112" w:line="228" w:lineRule="auto"/>
        <w:ind w:left="-15" w:right="-13" w:firstLine="261"/>
        <w:jc w:val="both"/>
      </w:pPr>
      <w:r>
        <w:rPr>
          <w:rFonts w:ascii="Times New Roman" w:eastAsia="Times New Roman" w:hAnsi="Times New Roman" w:cs="Times New Roman"/>
          <w:color w:val="FF0000"/>
          <w:sz w:val="19"/>
        </w:rPr>
        <w:t>Use the IEEE format for the citation. The template will number citations consecutively within brackets [1]. The sentence punctuation follows the bracket [2]. Refer simply to the reference number, as in [3]—do not use “Ref. [3]” or “reference [3]” except at the beginning of a sentence: “Reference [3] was the first ...” Unless there are six authors or more give all authors’ names; do not use “et al.”. Papers that have not been published, even if they have been submitted for publication, should be cited as “un</w:t>
      </w:r>
      <w:r>
        <w:rPr>
          <w:rFonts w:ascii="Times New Roman" w:eastAsia="Times New Roman" w:hAnsi="Times New Roman" w:cs="Times New Roman"/>
          <w:color w:val="FF0000"/>
          <w:sz w:val="19"/>
        </w:rPr>
        <w:t>published” [4]. Papers that have been accepted for publication should be cited as “in press” [5]. Capitalize only the first word in a paper title, except for proper nouns and element symbols.</w:t>
      </w:r>
      <w:r>
        <w:rPr>
          <w:rFonts w:ascii="Times New Roman" w:eastAsia="Times New Roman" w:hAnsi="Times New Roman" w:cs="Times New Roman"/>
          <w:sz w:val="19"/>
        </w:rPr>
        <w:t xml:space="preserve"> </w:t>
      </w:r>
    </w:p>
    <w:p w14:paraId="3BC9BA3A" w14:textId="77777777" w:rsidR="00275CED" w:rsidRDefault="004A545C">
      <w:pPr>
        <w:numPr>
          <w:ilvl w:val="0"/>
          <w:numId w:val="3"/>
        </w:numPr>
        <w:spacing w:after="52" w:line="232" w:lineRule="auto"/>
        <w:ind w:hanging="334"/>
        <w:jc w:val="both"/>
      </w:pPr>
      <w:r>
        <w:rPr>
          <w:rFonts w:ascii="Times New Roman" w:eastAsia="Times New Roman" w:hAnsi="Times New Roman" w:cs="Times New Roman"/>
          <w:sz w:val="15"/>
        </w:rPr>
        <w:t xml:space="preserve">G. Eason, B. Noble, and I. N. Sneddon, “On certain integrals of Lipschitz-Hankel type involving products of Bessel functions,” Phil. Trans. Roy. Soc. London, vol. A247, pp. 529–551, April 1955. (references) </w:t>
      </w:r>
    </w:p>
    <w:p w14:paraId="44FA2407" w14:textId="77777777" w:rsidR="00275CED" w:rsidRDefault="004A545C">
      <w:pPr>
        <w:numPr>
          <w:ilvl w:val="0"/>
          <w:numId w:val="3"/>
        </w:numPr>
        <w:spacing w:after="52" w:line="232" w:lineRule="auto"/>
        <w:ind w:hanging="334"/>
        <w:jc w:val="both"/>
      </w:pPr>
      <w:r>
        <w:rPr>
          <w:rFonts w:ascii="Times New Roman" w:eastAsia="Times New Roman" w:hAnsi="Times New Roman" w:cs="Times New Roman"/>
          <w:sz w:val="15"/>
        </w:rPr>
        <w:t xml:space="preserve">J. Clerk Maxwell, A Treatise on Electricity and Magnetism, 3rd ed., vol. 2. Oxford: Clarendon, 1892, pp.68–73. </w:t>
      </w:r>
    </w:p>
    <w:p w14:paraId="4B44FC08" w14:textId="77777777" w:rsidR="00275CED" w:rsidRDefault="004A545C">
      <w:pPr>
        <w:numPr>
          <w:ilvl w:val="0"/>
          <w:numId w:val="3"/>
        </w:numPr>
        <w:spacing w:after="52" w:line="232" w:lineRule="auto"/>
        <w:ind w:hanging="334"/>
        <w:jc w:val="both"/>
      </w:pPr>
      <w:r>
        <w:rPr>
          <w:rFonts w:ascii="Times New Roman" w:eastAsia="Times New Roman" w:hAnsi="Times New Roman" w:cs="Times New Roman"/>
          <w:sz w:val="15"/>
        </w:rPr>
        <w:t xml:space="preserve">I. S. Jacobs and C. P. Bean, “Fine particles, thin films and exchange anisotropy,” in Magnetism, vol. III, G. T. Rado and H. Suhl, Eds. New York: Academic, 1963, pp. 271–350. </w:t>
      </w:r>
    </w:p>
    <w:p w14:paraId="3085906E" w14:textId="77777777" w:rsidR="00275CED" w:rsidRDefault="004A545C">
      <w:pPr>
        <w:numPr>
          <w:ilvl w:val="0"/>
          <w:numId w:val="3"/>
        </w:numPr>
        <w:spacing w:after="83" w:line="232" w:lineRule="auto"/>
        <w:ind w:hanging="334"/>
        <w:jc w:val="both"/>
      </w:pPr>
      <w:r>
        <w:rPr>
          <w:rFonts w:ascii="Times New Roman" w:eastAsia="Times New Roman" w:hAnsi="Times New Roman" w:cs="Times New Roman"/>
          <w:sz w:val="15"/>
        </w:rPr>
        <w:t xml:space="preserve">K. Elissa, “Title of paper if known,” unpublished. </w:t>
      </w:r>
    </w:p>
    <w:p w14:paraId="0F02976B" w14:textId="77777777" w:rsidR="00275CED" w:rsidRDefault="004A545C">
      <w:pPr>
        <w:spacing w:after="205"/>
        <w:jc w:val="right"/>
      </w:pPr>
      <w:r>
        <w:rPr>
          <w:rFonts w:ascii="Times New Roman" w:eastAsia="Times New Roman" w:hAnsi="Times New Roman" w:cs="Times New Roman"/>
          <w:sz w:val="19"/>
        </w:rPr>
        <w:t xml:space="preserve"> </w:t>
      </w:r>
    </w:p>
    <w:p w14:paraId="717793F9" w14:textId="77777777" w:rsidR="00275CED" w:rsidRDefault="004A545C">
      <w:pPr>
        <w:pBdr>
          <w:top w:val="single" w:sz="6" w:space="0" w:color="000000"/>
          <w:left w:val="single" w:sz="6" w:space="0" w:color="000000"/>
          <w:bottom w:val="single" w:sz="6" w:space="0" w:color="000000"/>
          <w:right w:val="single" w:sz="6" w:space="0" w:color="000000"/>
        </w:pBdr>
        <w:spacing w:after="111" w:line="228" w:lineRule="auto"/>
        <w:ind w:left="143" w:right="161" w:firstLine="261"/>
        <w:jc w:val="both"/>
      </w:pPr>
      <w:r>
        <w:rPr>
          <w:rFonts w:ascii="Times New Roman" w:eastAsia="Times New Roman" w:hAnsi="Times New Roman" w:cs="Times New Roman"/>
          <w:sz w:val="19"/>
        </w:rPr>
        <w:t xml:space="preserve">We suggest that you use a text box to insert a graphic (which is ideally a 300 dpi TIFF or EPS file, with all fonts embedded) because, in an MSW document, this method is somewhat more stable than directly inserting a picture. </w:t>
      </w:r>
    </w:p>
    <w:p w14:paraId="1374A8D4" w14:textId="77777777" w:rsidR="00275CED" w:rsidRDefault="004A545C">
      <w:pPr>
        <w:pBdr>
          <w:top w:val="single" w:sz="6" w:space="0" w:color="000000"/>
          <w:left w:val="single" w:sz="6" w:space="0" w:color="000000"/>
          <w:bottom w:val="single" w:sz="6" w:space="0" w:color="000000"/>
          <w:right w:val="single" w:sz="6" w:space="0" w:color="000000"/>
        </w:pBdr>
        <w:spacing w:after="111" w:line="228" w:lineRule="auto"/>
        <w:ind w:left="143" w:right="161" w:firstLine="261"/>
        <w:jc w:val="both"/>
      </w:pPr>
      <w:r>
        <w:rPr>
          <w:rFonts w:ascii="Times New Roman" w:eastAsia="Times New Roman" w:hAnsi="Times New Roman" w:cs="Times New Roman"/>
          <w:sz w:val="19"/>
        </w:rPr>
        <w:t xml:space="preserve">To have non-visible rules on your frame, use the MSWord “Format” pull-down menu, select Text Box &gt; Colors and Lines to choose No Fill and No Line. </w:t>
      </w:r>
    </w:p>
    <w:p w14:paraId="7D7D79BF" w14:textId="77777777" w:rsidR="00275CED" w:rsidRDefault="004A545C">
      <w:pPr>
        <w:numPr>
          <w:ilvl w:val="0"/>
          <w:numId w:val="3"/>
        </w:numPr>
        <w:spacing w:after="52" w:line="232" w:lineRule="auto"/>
        <w:ind w:hanging="334"/>
        <w:jc w:val="both"/>
      </w:pPr>
      <w:r>
        <w:rPr>
          <w:rFonts w:ascii="Times New Roman" w:eastAsia="Times New Roman" w:hAnsi="Times New Roman" w:cs="Times New Roman"/>
          <w:sz w:val="15"/>
        </w:rPr>
        <w:t xml:space="preserve">R. Nicole, “Title of paper with only first word capitalized,” J. Name Stand. Abbrev., in press. </w:t>
      </w:r>
    </w:p>
    <w:p w14:paraId="51B47F15" w14:textId="77777777" w:rsidR="00275CED" w:rsidRDefault="004A545C">
      <w:pPr>
        <w:numPr>
          <w:ilvl w:val="0"/>
          <w:numId w:val="3"/>
        </w:numPr>
        <w:spacing w:after="52" w:line="232" w:lineRule="auto"/>
        <w:ind w:hanging="334"/>
        <w:jc w:val="both"/>
      </w:pPr>
      <w:r>
        <w:rPr>
          <w:rFonts w:ascii="Times New Roman" w:eastAsia="Times New Roman" w:hAnsi="Times New Roman" w:cs="Times New Roman"/>
          <w:sz w:val="15"/>
        </w:rPr>
        <w:t xml:space="preserve">Y. Yorozu, M. Hirano, K. Oka, and Y. Tagawa, “Electron spectroscopy studies on magneto-optical media and plastic substrate interface,” IEEE Transl. J. Magn. Japan, vol. 2, pp. 740–741, August 1987 [Digests 9th Annual Conf. Magnetics Japan, p. 301, 1982]. </w:t>
      </w:r>
    </w:p>
    <w:p w14:paraId="147C3BA6" w14:textId="77777777" w:rsidR="00275CED" w:rsidRDefault="004A545C">
      <w:pPr>
        <w:numPr>
          <w:ilvl w:val="0"/>
          <w:numId w:val="3"/>
        </w:numPr>
        <w:spacing w:after="52" w:line="232" w:lineRule="auto"/>
        <w:ind w:hanging="334"/>
        <w:jc w:val="both"/>
      </w:pPr>
      <w:r>
        <w:rPr>
          <w:rFonts w:ascii="Times New Roman" w:eastAsia="Times New Roman" w:hAnsi="Times New Roman" w:cs="Times New Roman"/>
          <w:sz w:val="15"/>
        </w:rPr>
        <w:t xml:space="preserve">M. Young, The Technical Writer’s Handbook. Mill Valley, CA: </w:t>
      </w:r>
      <w:proofErr w:type="gramStart"/>
      <w:r>
        <w:rPr>
          <w:rFonts w:ascii="Times New Roman" w:eastAsia="Times New Roman" w:hAnsi="Times New Roman" w:cs="Times New Roman"/>
          <w:sz w:val="15"/>
        </w:rPr>
        <w:t>University</w:t>
      </w:r>
      <w:proofErr w:type="gramEnd"/>
      <w:r>
        <w:rPr>
          <w:rFonts w:ascii="Times New Roman" w:eastAsia="Times New Roman" w:hAnsi="Times New Roman" w:cs="Times New Roman"/>
          <w:sz w:val="15"/>
        </w:rPr>
        <w:t xml:space="preserve"> Science, 1989. </w:t>
      </w:r>
    </w:p>
    <w:p w14:paraId="7D08FBCF" w14:textId="77777777" w:rsidR="00275CED" w:rsidRDefault="004A545C">
      <w:pPr>
        <w:spacing w:after="66"/>
      </w:pPr>
      <w:r>
        <w:rPr>
          <w:rFonts w:ascii="Times New Roman" w:eastAsia="Times New Roman" w:hAnsi="Times New Roman" w:cs="Times New Roman"/>
          <w:sz w:val="15"/>
        </w:rPr>
        <w:t xml:space="preserve"> </w:t>
      </w:r>
    </w:p>
    <w:p w14:paraId="5CB1305B" w14:textId="77777777" w:rsidR="00275CED" w:rsidRDefault="004A545C">
      <w:pPr>
        <w:spacing w:after="3" w:line="241" w:lineRule="auto"/>
        <w:ind w:left="355" w:hanging="173"/>
        <w:jc w:val="both"/>
      </w:pPr>
      <w:r>
        <w:rPr>
          <w:rFonts w:ascii="Times New Roman" w:eastAsia="Times New Roman" w:hAnsi="Times New Roman" w:cs="Times New Roman"/>
          <w:color w:val="FF0000"/>
          <w:sz w:val="19"/>
        </w:rPr>
        <w:t xml:space="preserve">IEEE conference templates contain guidance text for composing and formatting conference papers. Please </w:t>
      </w:r>
    </w:p>
    <w:p w14:paraId="1498EC27" w14:textId="77777777" w:rsidR="00275CED" w:rsidRDefault="004A545C">
      <w:pPr>
        <w:spacing w:after="3" w:line="241" w:lineRule="auto"/>
        <w:ind w:left="742" w:hanging="281"/>
        <w:jc w:val="both"/>
      </w:pPr>
      <w:r>
        <w:rPr>
          <w:rFonts w:ascii="Times New Roman" w:eastAsia="Times New Roman" w:hAnsi="Times New Roman" w:cs="Times New Roman"/>
          <w:color w:val="FF0000"/>
          <w:sz w:val="19"/>
        </w:rPr>
        <w:t xml:space="preserve">ensure that all template text is removed from your conference paper prior to submission to the </w:t>
      </w:r>
    </w:p>
    <w:p w14:paraId="49A84685" w14:textId="77777777" w:rsidR="00275CED" w:rsidRDefault="004A545C">
      <w:pPr>
        <w:spacing w:after="3" w:line="241" w:lineRule="auto"/>
        <w:ind w:left="612" w:right="181" w:hanging="101"/>
        <w:jc w:val="both"/>
      </w:pPr>
      <w:r>
        <w:rPr>
          <w:rFonts w:ascii="Times New Roman" w:eastAsia="Times New Roman" w:hAnsi="Times New Roman" w:cs="Times New Roman"/>
          <w:color w:val="FF0000"/>
          <w:sz w:val="19"/>
        </w:rPr>
        <w:t>conference. Failure to remove template text from your paper may result in your paper not being published.</w:t>
      </w:r>
    </w:p>
    <w:sectPr w:rsidR="00275CED">
      <w:type w:val="continuous"/>
      <w:pgSz w:w="12240" w:h="15840"/>
      <w:pgMar w:top="1045" w:right="1381" w:bottom="680" w:left="1370" w:header="720" w:footer="720" w:gutter="0"/>
      <w:cols w:num="2" w:space="2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6F2E"/>
    <w:multiLevelType w:val="hybridMultilevel"/>
    <w:tmpl w:val="11D8FBCA"/>
    <w:lvl w:ilvl="0" w:tplc="010C9CB6">
      <w:start w:val="1"/>
      <w:numFmt w:val="decimal"/>
      <w:lvlText w:val="%1)"/>
      <w:lvlJc w:val="left"/>
      <w:pPr>
        <w:ind w:left="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7B364508">
      <w:start w:val="1"/>
      <w:numFmt w:val="lowerLetter"/>
      <w:lvlText w:val="%2)"/>
      <w:lvlJc w:val="left"/>
      <w:pPr>
        <w:ind w:left="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948CC9E">
      <w:start w:val="1"/>
      <w:numFmt w:val="lowerRoman"/>
      <w:lvlText w:val="%3"/>
      <w:lvlJc w:val="left"/>
      <w:pPr>
        <w:ind w:left="15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9024F48">
      <w:start w:val="1"/>
      <w:numFmt w:val="decimal"/>
      <w:lvlText w:val="%4"/>
      <w:lvlJc w:val="left"/>
      <w:pPr>
        <w:ind w:left="22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278CFD6">
      <w:start w:val="1"/>
      <w:numFmt w:val="lowerLetter"/>
      <w:lvlText w:val="%5"/>
      <w:lvlJc w:val="left"/>
      <w:pPr>
        <w:ind w:left="29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D4CD4AC">
      <w:start w:val="1"/>
      <w:numFmt w:val="lowerRoman"/>
      <w:lvlText w:val="%6"/>
      <w:lvlJc w:val="left"/>
      <w:pPr>
        <w:ind w:left="37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4EA120A">
      <w:start w:val="1"/>
      <w:numFmt w:val="decimal"/>
      <w:lvlText w:val="%7"/>
      <w:lvlJc w:val="left"/>
      <w:pPr>
        <w:ind w:left="44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93AC934">
      <w:start w:val="1"/>
      <w:numFmt w:val="lowerLetter"/>
      <w:lvlText w:val="%8"/>
      <w:lvlJc w:val="left"/>
      <w:pPr>
        <w:ind w:left="51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74E5EE2">
      <w:start w:val="1"/>
      <w:numFmt w:val="lowerRoman"/>
      <w:lvlText w:val="%9"/>
      <w:lvlJc w:val="left"/>
      <w:pPr>
        <w:ind w:left="58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D34654A"/>
    <w:multiLevelType w:val="hybridMultilevel"/>
    <w:tmpl w:val="3F6C8060"/>
    <w:lvl w:ilvl="0" w:tplc="7FDA5962">
      <w:start w:val="1"/>
      <w:numFmt w:val="upperLetter"/>
      <w:lvlText w:val="%1."/>
      <w:lvlJc w:val="left"/>
      <w:pPr>
        <w:ind w:left="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9DDA1F6A">
      <w:start w:val="1"/>
      <w:numFmt w:val="lowerLetter"/>
      <w:lvlText w:val="%2"/>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D06711C">
      <w:start w:val="1"/>
      <w:numFmt w:val="lowerRoman"/>
      <w:lvlText w:val="%3"/>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3A27786">
      <w:start w:val="1"/>
      <w:numFmt w:val="decimal"/>
      <w:lvlText w:val="%4"/>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BB2107A">
      <w:start w:val="1"/>
      <w:numFmt w:val="lowerLetter"/>
      <w:lvlText w:val="%5"/>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35E53CC">
      <w:start w:val="1"/>
      <w:numFmt w:val="lowerRoman"/>
      <w:lvlText w:val="%6"/>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FEEC364">
      <w:start w:val="1"/>
      <w:numFmt w:val="decimal"/>
      <w:lvlText w:val="%7"/>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CFC0E0C">
      <w:start w:val="1"/>
      <w:numFmt w:val="lowerLetter"/>
      <w:lvlText w:val="%8"/>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CFC6CAC">
      <w:start w:val="1"/>
      <w:numFmt w:val="lowerRoman"/>
      <w:lvlText w:val="%9"/>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7ED34898"/>
    <w:multiLevelType w:val="hybridMultilevel"/>
    <w:tmpl w:val="478AD702"/>
    <w:lvl w:ilvl="0" w:tplc="0AD03CBE">
      <w:start w:val="1"/>
      <w:numFmt w:val="decimal"/>
      <w:lvlText w:val="[%1]"/>
      <w:lvlJc w:val="left"/>
      <w:pPr>
        <w:ind w:left="334"/>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9D38EE2A">
      <w:start w:val="1"/>
      <w:numFmt w:val="lowerLetter"/>
      <w:lvlText w:val="%2"/>
      <w:lvlJc w:val="left"/>
      <w:pPr>
        <w:ind w:left="10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6F4C12BA">
      <w:start w:val="1"/>
      <w:numFmt w:val="lowerRoman"/>
      <w:lvlText w:val="%3"/>
      <w:lvlJc w:val="left"/>
      <w:pPr>
        <w:ind w:left="18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E4F2DCCC">
      <w:start w:val="1"/>
      <w:numFmt w:val="decimal"/>
      <w:lvlText w:val="%4"/>
      <w:lvlJc w:val="left"/>
      <w:pPr>
        <w:ind w:left="25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0A8C0356">
      <w:start w:val="1"/>
      <w:numFmt w:val="lowerLetter"/>
      <w:lvlText w:val="%5"/>
      <w:lvlJc w:val="left"/>
      <w:pPr>
        <w:ind w:left="324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4768E222">
      <w:start w:val="1"/>
      <w:numFmt w:val="lowerRoman"/>
      <w:lvlText w:val="%6"/>
      <w:lvlJc w:val="left"/>
      <w:pPr>
        <w:ind w:left="396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E78EB9BE">
      <w:start w:val="1"/>
      <w:numFmt w:val="decimal"/>
      <w:lvlText w:val="%7"/>
      <w:lvlJc w:val="left"/>
      <w:pPr>
        <w:ind w:left="46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232E0AD6">
      <w:start w:val="1"/>
      <w:numFmt w:val="lowerLetter"/>
      <w:lvlText w:val="%8"/>
      <w:lvlJc w:val="left"/>
      <w:pPr>
        <w:ind w:left="54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EF5AEB5E">
      <w:start w:val="1"/>
      <w:numFmt w:val="lowerRoman"/>
      <w:lvlText w:val="%9"/>
      <w:lvlJc w:val="left"/>
      <w:pPr>
        <w:ind w:left="61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num w:numId="1" w16cid:durableId="2040858325">
    <w:abstractNumId w:val="1"/>
  </w:num>
  <w:num w:numId="2" w16cid:durableId="599608908">
    <w:abstractNumId w:val="0"/>
  </w:num>
  <w:num w:numId="3" w16cid:durableId="353043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CED"/>
    <w:rsid w:val="00275CED"/>
    <w:rsid w:val="004A545C"/>
    <w:rsid w:val="00D343D2"/>
    <w:rsid w:val="00E91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D90DE"/>
  <w15:docId w15:val="{DF87958C-5346-4160-AB3B-519863B3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19" w:line="259" w:lineRule="auto"/>
      <w:ind w:left="1013"/>
      <w:jc w:val="right"/>
      <w:outlineLvl w:val="0"/>
    </w:pPr>
    <w:rPr>
      <w:rFonts w:ascii="Times New Roman" w:eastAsia="Times New Roman" w:hAnsi="Times New Roman" w:cs="Times New Roman"/>
      <w:color w:val="000000"/>
      <w:sz w:val="45"/>
    </w:rPr>
  </w:style>
  <w:style w:type="paragraph" w:styleId="Heading2">
    <w:name w:val="heading 2"/>
    <w:next w:val="Normal"/>
    <w:link w:val="Heading2Char"/>
    <w:uiPriority w:val="9"/>
    <w:unhideWhenUsed/>
    <w:qFormat/>
    <w:pPr>
      <w:keepNext/>
      <w:keepLines/>
      <w:spacing w:after="52" w:line="261" w:lineRule="auto"/>
      <w:ind w:left="10" w:right="100" w:hanging="10"/>
      <w:jc w:val="center"/>
      <w:outlineLvl w:val="1"/>
    </w:pPr>
    <w:rPr>
      <w:rFonts w:ascii="Times New Roman" w:eastAsia="Times New Roman" w:hAnsi="Times New Roman" w:cs="Times New Roman"/>
      <w:color w:val="000000"/>
      <w:sz w:val="15"/>
    </w:rPr>
  </w:style>
  <w:style w:type="paragraph" w:styleId="Heading3">
    <w:name w:val="heading 3"/>
    <w:next w:val="Normal"/>
    <w:link w:val="Heading3Char"/>
    <w:uiPriority w:val="9"/>
    <w:unhideWhenUsed/>
    <w:qFormat/>
    <w:pPr>
      <w:keepNext/>
      <w:keepLines/>
      <w:spacing w:after="30" w:line="259" w:lineRule="auto"/>
      <w:ind w:left="10" w:hanging="10"/>
      <w:outlineLvl w:val="2"/>
    </w:pPr>
    <w:rPr>
      <w:rFonts w:ascii="Times New Roman" w:eastAsia="Times New Roman" w:hAnsi="Times New Roman" w:cs="Times New Roman"/>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19"/>
    </w:rPr>
  </w:style>
  <w:style w:type="character" w:customStyle="1" w:styleId="Heading1Char">
    <w:name w:val="Heading 1 Char"/>
    <w:link w:val="Heading1"/>
    <w:rPr>
      <w:rFonts w:ascii="Times New Roman" w:eastAsia="Times New Roman" w:hAnsi="Times New Roman" w:cs="Times New Roman"/>
      <w:color w:val="000000"/>
      <w:sz w:val="45"/>
    </w:rPr>
  </w:style>
  <w:style w:type="character" w:customStyle="1" w:styleId="Heading2Char">
    <w:name w:val="Heading 2 Char"/>
    <w:link w:val="Heading2"/>
    <w:rPr>
      <w:rFonts w:ascii="Times New Roman" w:eastAsia="Times New Roman" w:hAnsi="Times New Roman" w:cs="Times New Roman"/>
      <w:color w:val="000000"/>
      <w:sz w:val="1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2B53AB3DCD774DB97D19A5AA2067BA" ma:contentTypeVersion="9" ma:contentTypeDescription="Create a new document." ma:contentTypeScope="" ma:versionID="8b1adf1aeb224ee02d8fd0b1b1cb5fea">
  <xsd:schema xmlns:xsd="http://www.w3.org/2001/XMLSchema" xmlns:xs="http://www.w3.org/2001/XMLSchema" xmlns:p="http://schemas.microsoft.com/office/2006/metadata/properties" xmlns:ns3="970278ee-e2fc-4de5-87f6-4899bffc4f03" targetNamespace="http://schemas.microsoft.com/office/2006/metadata/properties" ma:root="true" ma:fieldsID="50ed9630fb23ce9e292f2ae992b2fab0" ns3:_="">
    <xsd:import namespace="970278ee-e2fc-4de5-87f6-4899bffc4f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0278ee-e2fc-4de5-87f6-4899bffc4f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70278ee-e2fc-4de5-87f6-4899bffc4f03" xsi:nil="true"/>
  </documentManagement>
</p:properties>
</file>

<file path=customXml/itemProps1.xml><?xml version="1.0" encoding="utf-8"?>
<ds:datastoreItem xmlns:ds="http://schemas.openxmlformats.org/officeDocument/2006/customXml" ds:itemID="{01982CBD-960C-4F5C-BE2C-A983E8EF91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0278ee-e2fc-4de5-87f6-4899bffc4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1D7BC-CCEC-4D89-9AAA-5E7CCB79C756}">
  <ds:schemaRefs>
    <ds:schemaRef ds:uri="http://schemas.microsoft.com/sharepoint/v3/contenttype/forms"/>
  </ds:schemaRefs>
</ds:datastoreItem>
</file>

<file path=customXml/itemProps3.xml><?xml version="1.0" encoding="utf-8"?>
<ds:datastoreItem xmlns:ds="http://schemas.openxmlformats.org/officeDocument/2006/customXml" ds:itemID="{C6C77249-3BA5-4F78-B87A-843D5702BEDD}">
  <ds:schemaRefs>
    <ds:schemaRef ds:uri="http://schemas.microsoft.com/office/2006/metadata/properties"/>
    <ds:schemaRef ds:uri="http://schemas.microsoft.com/office/infopath/2007/PartnerControls"/>
    <ds:schemaRef ds:uri="970278ee-e2fc-4de5-87f6-4899bffc4f0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1810</Words>
  <Characters>10322</Characters>
  <Application>Microsoft Office Word</Application>
  <DocSecurity>0</DocSecurity>
  <Lines>86</Lines>
  <Paragraphs>24</Paragraphs>
  <ScaleCrop>false</ScaleCrop>
  <Company/>
  <LinksUpToDate>false</LinksUpToDate>
  <CharactersWithSpaces>12108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Individual_Project_Report_Template (1).docx</dc:title>
  <dc:subject/>
  <dc:creator>Naikar, Gurucharan Shivakumar</dc:creator>
  <cp:keywords/>
  <cp:lastModifiedBy>Naikar, Gurucharan Shivakumar</cp:lastModifiedBy>
  <cp:revision>2</cp:revision>
  <dcterms:created xsi:type="dcterms:W3CDTF">2025-11-25T15:40:00Z</dcterms:created>
  <dcterms:modified xsi:type="dcterms:W3CDTF">2025-11-25T15:40:00Z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0x010100202B53AB3DCD774DB97D19A5AA2067BA</vt:lpwstr>
  </property>
</Properties>
</file>