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Maintenance &amp; Support Plan (Monthly Basis)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Monthly Charges</w:t>
            </w:r>
          </w:p>
        </w:tc>
        <w:tc>
          <w:tcPr>
            <w:tcW w:type="dxa" w:w="1728"/>
          </w:tcPr>
          <w:p>
            <w:r>
              <w:t>Total (Approx.)</w:t>
            </w:r>
          </w:p>
        </w:tc>
        <w:tc>
          <w:tcPr>
            <w:tcW w:type="dxa" w:w="1728"/>
          </w:tcPr>
          <w:p>
            <w:r>
              <w:t>Coverage</w:t>
            </w:r>
          </w:p>
        </w:tc>
      </w:tr>
      <w:tr>
        <w:tc>
          <w:tcPr>
            <w:tcW w:type="dxa" w:w="1728"/>
          </w:tcPr>
          <w:p>
            <w:r>
              <w:t>Initial Support Period</w:t>
            </w:r>
          </w:p>
        </w:tc>
        <w:tc>
          <w:tcPr>
            <w:tcW w:type="dxa" w:w="1728"/>
          </w:tcPr>
          <w:p>
            <w:r>
              <w:t>First 6 Months (Post Go-Live)</w:t>
            </w:r>
          </w:p>
        </w:tc>
        <w:tc>
          <w:tcPr>
            <w:tcW w:type="dxa" w:w="1728"/>
          </w:tcPr>
          <w:p>
            <w:r>
              <w:t>₹15,000 + GST / Month</w:t>
            </w:r>
          </w:p>
        </w:tc>
        <w:tc>
          <w:tcPr>
            <w:tcW w:type="dxa" w:w="1728"/>
          </w:tcPr>
          <w:p>
            <w:r>
              <w:t>₹90,000 + GST</w:t>
            </w:r>
          </w:p>
        </w:tc>
        <w:tc>
          <w:tcPr>
            <w:tcW w:type="dxa" w:w="1728"/>
          </w:tcPr>
          <w:p>
            <w:r>
              <w:t>Bug fixes, security updates, minor UI changes, stability support</w:t>
            </w:r>
          </w:p>
        </w:tc>
      </w:tr>
      <w:tr>
        <w:tc>
          <w:tcPr>
            <w:tcW w:type="dxa" w:w="1728"/>
          </w:tcPr>
          <w:p>
            <w:r>
              <w:t>Standard AMC Period</w:t>
            </w:r>
          </w:p>
        </w:tc>
        <w:tc>
          <w:tcPr>
            <w:tcW w:type="dxa" w:w="1728"/>
          </w:tcPr>
          <w:p>
            <w:r>
              <w:t>Next 12 Months</w:t>
            </w:r>
          </w:p>
        </w:tc>
        <w:tc>
          <w:tcPr>
            <w:tcW w:type="dxa" w:w="1728"/>
          </w:tcPr>
          <w:p>
            <w:r>
              <w:t>₹20,000 + GST / Month</w:t>
            </w:r>
          </w:p>
        </w:tc>
        <w:tc>
          <w:tcPr>
            <w:tcW w:type="dxa" w:w="1728"/>
          </w:tcPr>
          <w:p>
            <w:r>
              <w:t>₹2,40,000 + GST</w:t>
            </w:r>
          </w:p>
        </w:tc>
        <w:tc>
          <w:tcPr>
            <w:tcW w:type="dxa" w:w="1728"/>
          </w:tcPr>
          <w:p>
            <w:r>
              <w:t>Ongoing maintenance, performance monitoring, minor enhancements, limited support</w:t>
            </w:r>
          </w:p>
        </w:tc>
      </w:tr>
    </w:tbl>
    <w:p/>
    <w:p>
      <w:r>
        <w:t>Note: Maintenance excludes new feature development, major enhancements, third-party license costs, infrastructure upgrades, and scope changes. All such requirements shall be billed separately upon mutual agreement.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