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193C" w:rsidRPr="00E028EA" w:rsidRDefault="00000000" w:rsidP="00E028EA">
      <w:pPr>
        <w:spacing w:after="0"/>
        <w:jc w:val="center"/>
        <w:rPr>
          <w:b/>
          <w:bCs/>
          <w:lang w:val="pt-BR"/>
        </w:rPr>
      </w:pPr>
      <w:bookmarkStart w:id="0" w:name="Xdcaf19d4bb9f2d424bf5cede89e55ea359772be"/>
      <w:proofErr w:type="spellStart"/>
      <w:r w:rsidRPr="00E028EA">
        <w:rPr>
          <w:b/>
          <w:bCs/>
          <w:lang w:val="pt-BR"/>
        </w:rPr>
        <w:t>FertiCO</w:t>
      </w:r>
      <w:proofErr w:type="spellEnd"/>
      <w:r w:rsidRPr="00E028EA">
        <w:rPr>
          <w:b/>
          <w:bCs/>
          <w:lang w:val="pt-BR"/>
        </w:rPr>
        <w:t xml:space="preserve">₂-AI — Artificial </w:t>
      </w:r>
      <w:proofErr w:type="spellStart"/>
      <w:r w:rsidRPr="00E028EA">
        <w:rPr>
          <w:b/>
          <w:bCs/>
          <w:lang w:val="pt-BR"/>
        </w:rPr>
        <w:t>Intelligence</w:t>
      </w:r>
      <w:proofErr w:type="spellEnd"/>
      <w:r w:rsidRPr="00E028EA">
        <w:rPr>
          <w:b/>
          <w:bCs/>
          <w:lang w:val="pt-BR"/>
        </w:rPr>
        <w:t xml:space="preserve"> Pipeline </w:t>
      </w:r>
      <w:proofErr w:type="spellStart"/>
      <w:r w:rsidRPr="00E028EA">
        <w:rPr>
          <w:b/>
          <w:bCs/>
          <w:lang w:val="pt-BR"/>
        </w:rPr>
        <w:t>Documentation</w:t>
      </w:r>
      <w:proofErr w:type="spellEnd"/>
    </w:p>
    <w:p w:rsidR="00E028EA" w:rsidRDefault="00E028EA" w:rsidP="00E028EA">
      <w:pPr>
        <w:spacing w:after="0"/>
      </w:pPr>
      <w:bookmarkStart w:id="1" w:name="project"/>
    </w:p>
    <w:p w:rsidR="004A193C" w:rsidRDefault="00000000" w:rsidP="00E028EA">
      <w:pPr>
        <w:spacing w:after="0"/>
        <w:jc w:val="center"/>
        <w:rPr>
          <w:b/>
          <w:bCs/>
          <w:i/>
          <w:iCs/>
        </w:rPr>
      </w:pPr>
      <w:r w:rsidRPr="00E028EA">
        <w:rPr>
          <w:b/>
          <w:bCs/>
          <w:i/>
          <w:iCs/>
        </w:rPr>
        <w:t>Project</w:t>
      </w:r>
    </w:p>
    <w:p w:rsidR="00E028EA" w:rsidRPr="00E028EA" w:rsidRDefault="00E028EA" w:rsidP="00E028EA">
      <w:pPr>
        <w:spacing w:after="0"/>
        <w:jc w:val="center"/>
        <w:rPr>
          <w:b/>
          <w:bCs/>
          <w:i/>
          <w:iCs/>
        </w:rPr>
      </w:pPr>
    </w:p>
    <w:p w:rsidR="004A193C" w:rsidRPr="00E028EA" w:rsidRDefault="00000000" w:rsidP="00E028EA">
      <w:pPr>
        <w:spacing w:after="0"/>
        <w:jc w:val="center"/>
        <w:rPr>
          <w:b/>
          <w:bCs/>
          <w:i/>
          <w:iCs/>
        </w:rPr>
      </w:pPr>
      <w:r w:rsidRPr="00E028EA">
        <w:rPr>
          <w:b/>
          <w:bCs/>
          <w:i/>
          <w:iCs/>
        </w:rPr>
        <w:t>FertiCO₂-AI: Artificial Intelligence Platform Applied to the Design of Biodegradable Ionic Liquids for CO₂ Capture and Green Fertilizer Production</w:t>
      </w:r>
    </w:p>
    <w:p w:rsidR="00E028EA" w:rsidRDefault="00E028EA" w:rsidP="00E028EA">
      <w:pPr>
        <w:spacing w:after="0"/>
        <w:jc w:val="center"/>
        <w:rPr>
          <w:b/>
          <w:bCs/>
          <w:i/>
          <w:iCs/>
          <w:lang w:val="pt-BR"/>
        </w:rPr>
      </w:pPr>
    </w:p>
    <w:p w:rsidR="00E028EA" w:rsidRDefault="00000000" w:rsidP="00E028EA">
      <w:pPr>
        <w:spacing w:after="0"/>
        <w:jc w:val="center"/>
        <w:rPr>
          <w:b/>
          <w:bCs/>
          <w:i/>
          <w:iCs/>
          <w:lang w:val="pt-BR"/>
        </w:rPr>
      </w:pPr>
      <w:proofErr w:type="spellStart"/>
      <w:r w:rsidRPr="00E028EA">
        <w:rPr>
          <w:b/>
          <w:bCs/>
          <w:i/>
          <w:iCs/>
          <w:lang w:val="pt-BR"/>
        </w:rPr>
        <w:t>Authors</w:t>
      </w:r>
      <w:proofErr w:type="spellEnd"/>
      <w:r w:rsidRPr="00E028EA">
        <w:rPr>
          <w:b/>
          <w:bCs/>
          <w:i/>
          <w:iCs/>
          <w:lang w:val="pt-BR"/>
        </w:rPr>
        <w:t xml:space="preserve">: </w:t>
      </w:r>
    </w:p>
    <w:p w:rsidR="00E028EA" w:rsidRDefault="00E028EA" w:rsidP="00E028EA">
      <w:pPr>
        <w:spacing w:after="0"/>
        <w:jc w:val="center"/>
        <w:rPr>
          <w:b/>
          <w:bCs/>
          <w:i/>
          <w:iCs/>
          <w:lang w:val="pt-BR"/>
        </w:rPr>
      </w:pPr>
    </w:p>
    <w:p w:rsidR="004A193C" w:rsidRPr="00E028EA" w:rsidRDefault="00000000" w:rsidP="00E028EA">
      <w:pPr>
        <w:spacing w:after="0"/>
        <w:jc w:val="center"/>
        <w:rPr>
          <w:b/>
          <w:bCs/>
          <w:i/>
          <w:iCs/>
          <w:lang w:val="pt-BR"/>
        </w:rPr>
      </w:pPr>
      <w:r w:rsidRPr="00E028EA">
        <w:rPr>
          <w:b/>
          <w:bCs/>
          <w:i/>
          <w:iCs/>
          <w:lang w:val="pt-BR"/>
        </w:rPr>
        <w:t>Guilherme Colherinhas de Oliveira; Wesley Bueno Cardoso; Leonardo Bruno Assis Oliveira; Tertius Lima da Fonseca; Karinna Mendanha Soares; Lucas de Sousa Silva; Henrique de Araujo Chagas</w:t>
      </w:r>
    </w:p>
    <w:p w:rsidR="00E028EA" w:rsidRDefault="00E028EA" w:rsidP="00E028EA">
      <w:pPr>
        <w:spacing w:after="0"/>
        <w:jc w:val="center"/>
        <w:rPr>
          <w:b/>
          <w:bCs/>
          <w:i/>
          <w:iCs/>
        </w:rPr>
      </w:pPr>
    </w:p>
    <w:p w:rsidR="00E028EA" w:rsidRDefault="00000000" w:rsidP="00E028EA">
      <w:pPr>
        <w:spacing w:after="0"/>
        <w:jc w:val="center"/>
        <w:rPr>
          <w:b/>
          <w:bCs/>
          <w:i/>
          <w:iCs/>
        </w:rPr>
      </w:pPr>
      <w:r w:rsidRPr="00E028EA">
        <w:rPr>
          <w:b/>
          <w:bCs/>
          <w:i/>
          <w:iCs/>
        </w:rPr>
        <w:t xml:space="preserve">Institution: </w:t>
      </w:r>
    </w:p>
    <w:p w:rsidR="00E028EA" w:rsidRDefault="00E028EA" w:rsidP="00E028EA">
      <w:pPr>
        <w:spacing w:after="0"/>
        <w:jc w:val="center"/>
        <w:rPr>
          <w:b/>
          <w:bCs/>
          <w:i/>
          <w:iCs/>
        </w:rPr>
      </w:pPr>
    </w:p>
    <w:p w:rsidR="004A193C" w:rsidRPr="00E028EA" w:rsidRDefault="00000000" w:rsidP="00E028EA">
      <w:pPr>
        <w:spacing w:after="0"/>
        <w:jc w:val="center"/>
        <w:rPr>
          <w:b/>
          <w:bCs/>
          <w:i/>
          <w:iCs/>
        </w:rPr>
      </w:pPr>
      <w:r w:rsidRPr="00E028EA">
        <w:rPr>
          <w:b/>
          <w:bCs/>
          <w:i/>
          <w:iCs/>
        </w:rPr>
        <w:t>Institute of Physics — Federal University of Goiás (UFG)</w:t>
      </w:r>
    </w:p>
    <w:p w:rsidR="004A193C" w:rsidRDefault="004A193C" w:rsidP="00E028EA">
      <w:pPr>
        <w:spacing w:after="0"/>
        <w:jc w:val="both"/>
      </w:pPr>
    </w:p>
    <w:p w:rsidR="00E028EA" w:rsidRPr="00E028EA" w:rsidRDefault="00E028EA" w:rsidP="00E028EA">
      <w:pPr>
        <w:spacing w:after="0"/>
        <w:jc w:val="both"/>
      </w:pPr>
    </w:p>
    <w:p w:rsidR="004A193C" w:rsidRPr="00E028EA" w:rsidRDefault="00000000" w:rsidP="00E028EA">
      <w:pPr>
        <w:spacing w:after="0"/>
        <w:jc w:val="both"/>
        <w:rPr>
          <w:b/>
          <w:bCs/>
        </w:rPr>
      </w:pPr>
      <w:bookmarkStart w:id="2" w:name="solution-overview"/>
      <w:bookmarkEnd w:id="1"/>
      <w:r w:rsidRPr="00E028EA">
        <w:rPr>
          <w:b/>
          <w:bCs/>
        </w:rPr>
        <w:t>1. Solution Overview</w:t>
      </w:r>
    </w:p>
    <w:p w:rsidR="00E028EA" w:rsidRPr="00E028EA" w:rsidRDefault="00E028EA" w:rsidP="00E028EA">
      <w:pPr>
        <w:spacing w:after="0"/>
        <w:jc w:val="both"/>
      </w:pPr>
    </w:p>
    <w:p w:rsidR="004A193C" w:rsidRDefault="00000000" w:rsidP="00E028EA">
      <w:pPr>
        <w:spacing w:after="0"/>
        <w:jc w:val="both"/>
      </w:pPr>
      <w:r w:rsidRPr="00E028EA">
        <w:t>The Artificial Intelligence model developed within the scope of the FertiCO₂-AI project constitutes an open, modular, and fully reproducible platform aimed at the classification and prediction of CO₂ absorption potential in amino acid ionic liquids (AAILs). The solution was designed to act as a bridge between high-fidelity molecular modeling and machine learning, enabling the extraction of relevant physicochemical knowledge from large volumes of data generated by molecular dynamics simulations. The central focus of the system is to identify robust patterns of IL–CO₂ interaction and translate this information into physically interpretable classes capable of guiding the rational design of new systems with enhanced CO₂ capture efficiency.</w:t>
      </w:r>
    </w:p>
    <w:p w:rsidR="00E028EA" w:rsidRPr="00E028EA" w:rsidRDefault="00E028EA" w:rsidP="00E028EA">
      <w:pPr>
        <w:spacing w:after="0"/>
        <w:jc w:val="both"/>
      </w:pPr>
    </w:p>
    <w:p w:rsidR="004A193C" w:rsidRDefault="00000000" w:rsidP="00E028EA">
      <w:pPr>
        <w:spacing w:after="0"/>
        <w:jc w:val="both"/>
      </w:pPr>
      <w:r w:rsidRPr="00E028EA">
        <w:t>The computational architecture of FertiCO₂-AI consistently integrates molecular dynamics simulations, physicochemical statistical analysis, and supervised and unsupervised machine learning techniques, organized into three complementary computational stages. In the first stage, unsupervised classification methods are used to group systems based on direct IL–CO₂ interaction descriptors, generating physical classes ordered according to energetic affinity with CO₂. In the second stage, these classes are employed as supervised labels for training a neural network, which learns to correlate intrinsic physicochemical properties of AAILs with their expected CO₂ capture performance. Finally, the third stage provides a physical interpretation of the predictions, incorporating uncertainty statistics and reliability measures associated with the model’s decisions.</w:t>
      </w:r>
    </w:p>
    <w:p w:rsidR="00E028EA" w:rsidRPr="00E028EA" w:rsidRDefault="00E028EA" w:rsidP="00E028EA">
      <w:pPr>
        <w:spacing w:after="0"/>
        <w:jc w:val="both"/>
      </w:pPr>
    </w:p>
    <w:p w:rsidR="004A193C" w:rsidRPr="00E028EA" w:rsidRDefault="00000000" w:rsidP="00E028EA">
      <w:pPr>
        <w:spacing w:after="0"/>
        <w:jc w:val="both"/>
      </w:pPr>
      <w:r w:rsidRPr="00E028EA">
        <w:t xml:space="preserve">The entire computational pipeline is implemented in Python, using exclusively well-established open-source libraries within the scientific community, such as NumPy, Pandas, SciPy, and Scikit-learn. This choice ensures methodological transparency, full auditability, and complete reproducibility of the results, allowing all data, models, and metrics to be inspected, replicated, and validated by third parties. The modular structure of </w:t>
      </w:r>
      <w:r w:rsidRPr="00E028EA">
        <w:lastRenderedPageBreak/>
        <w:t>the code facilitates continuous updates of the system, incorporation of new descriptors or datasets, and comparison between different modeling strategies, ensuring technological longevity and alignment with the principles of open science and responsible AI.</w:t>
      </w:r>
    </w:p>
    <w:p w:rsidR="004A193C" w:rsidRPr="00E028EA" w:rsidRDefault="004A193C" w:rsidP="00E028EA">
      <w:pPr>
        <w:spacing w:after="0"/>
        <w:jc w:val="both"/>
      </w:pPr>
    </w:p>
    <w:p w:rsidR="004A193C" w:rsidRPr="00E028EA" w:rsidRDefault="00000000" w:rsidP="00E028EA">
      <w:pPr>
        <w:spacing w:after="0"/>
        <w:jc w:val="both"/>
        <w:rPr>
          <w:b/>
          <w:bCs/>
        </w:rPr>
      </w:pPr>
      <w:bookmarkStart w:id="3" w:name="general-model-architecture"/>
      <w:bookmarkEnd w:id="2"/>
      <w:r w:rsidRPr="00E028EA">
        <w:rPr>
          <w:b/>
          <w:bCs/>
        </w:rPr>
        <w:t>2. General Model Architecture</w:t>
      </w:r>
    </w:p>
    <w:p w:rsidR="00E028EA" w:rsidRDefault="00E028EA" w:rsidP="00E028EA">
      <w:pPr>
        <w:spacing w:after="0"/>
        <w:jc w:val="both"/>
      </w:pPr>
    </w:p>
    <w:p w:rsidR="004A193C" w:rsidRDefault="00000000" w:rsidP="00E028EA">
      <w:pPr>
        <w:spacing w:after="0"/>
        <w:jc w:val="both"/>
      </w:pPr>
      <w:r w:rsidRPr="00E028EA">
        <w:t xml:space="preserve">The </w:t>
      </w:r>
      <w:proofErr w:type="spellStart"/>
      <w:r w:rsidRPr="00E028EA">
        <w:t>FertiCO</w:t>
      </w:r>
      <w:proofErr w:type="spellEnd"/>
      <w:r w:rsidRPr="00E028EA">
        <w:t>₂-AI architecture is structured into three complementary stages, each with a well-defined role in the learning flow and physical interpretation.</w:t>
      </w:r>
    </w:p>
    <w:p w:rsidR="00E028EA" w:rsidRPr="00E028EA" w:rsidRDefault="00E028EA" w:rsidP="00E028EA">
      <w:pPr>
        <w:spacing w:after="0"/>
        <w:jc w:val="both"/>
      </w:pPr>
    </w:p>
    <w:p w:rsidR="004A193C" w:rsidRPr="00E028EA" w:rsidRDefault="00000000" w:rsidP="00E028EA">
      <w:pPr>
        <w:spacing w:after="0"/>
        <w:jc w:val="both"/>
        <w:rPr>
          <w:b/>
          <w:bCs/>
        </w:rPr>
      </w:pPr>
      <w:bookmarkStart w:id="4" w:name="X790d211afcc52fc11cd1fef4a7ccbd64b837b8a"/>
      <w:r w:rsidRPr="00E028EA">
        <w:rPr>
          <w:b/>
          <w:bCs/>
        </w:rPr>
        <w:t>2.1 Stage 1 — Unsupervised Physical Classification (K-Means)</w:t>
      </w:r>
    </w:p>
    <w:p w:rsidR="00E028EA" w:rsidRDefault="00E028EA" w:rsidP="00E028EA">
      <w:pPr>
        <w:spacing w:after="0"/>
        <w:jc w:val="both"/>
      </w:pPr>
    </w:p>
    <w:p w:rsidR="004A193C" w:rsidRPr="00E028EA" w:rsidRDefault="00000000" w:rsidP="00E028EA">
      <w:pPr>
        <w:spacing w:after="0"/>
        <w:jc w:val="both"/>
      </w:pPr>
      <w:r w:rsidRPr="00E028EA">
        <w:t xml:space="preserve">Stage 1 of the </w:t>
      </w:r>
      <w:proofErr w:type="spellStart"/>
      <w:r w:rsidRPr="00E028EA">
        <w:t>FertiCO</w:t>
      </w:r>
      <w:proofErr w:type="spellEnd"/>
      <w:r w:rsidRPr="00E028EA">
        <w:t>₂-AI pipeline aims to establish an initial physical classification of amino acid ionic liquid (AAIL) systems based on direct CO₂ interaction descriptors extracted from fully converged molecular dynamics simulations. This stage does not use any prior label information and explores exclusively intrinsic patterns present in the physicochemical data space, allowing the identification of distinct IL–CO₂ interaction regimes in an objective and property-driven manner.</w:t>
      </w:r>
    </w:p>
    <w:p w:rsidR="00E028EA" w:rsidRDefault="00E028EA" w:rsidP="00E028EA">
      <w:pPr>
        <w:spacing w:after="0"/>
        <w:jc w:val="both"/>
      </w:pPr>
    </w:p>
    <w:p w:rsidR="004A193C" w:rsidRPr="00E028EA" w:rsidRDefault="00000000" w:rsidP="00E028EA">
      <w:pPr>
        <w:spacing w:after="0"/>
        <w:jc w:val="both"/>
      </w:pPr>
      <w:r w:rsidRPr="00E028EA">
        <w:t>For this task, the K-Means algorithm was employed due to its robustness, interpretability, and widespread use in physicochemical classification studies. Prior to clustering, all descriptors are subjected to z-score normalization (StandardScaler), ensuring that variables with different physical units and scales contribute equally to the Euclidean distance metric used by K-Means. The optimal number of clusters is determined automatically and reproducibly using the elbow method, with analysis of the second derivative of total inertia, identifying the point beyond which additional clusters do not significantly improve variance explanation.</w:t>
      </w:r>
    </w:p>
    <w:p w:rsidR="00E028EA" w:rsidRDefault="00E028EA" w:rsidP="00E028EA">
      <w:pPr>
        <w:spacing w:after="0"/>
        <w:jc w:val="both"/>
      </w:pPr>
    </w:p>
    <w:p w:rsidR="004A193C" w:rsidRDefault="00000000" w:rsidP="00E028EA">
      <w:pPr>
        <w:spacing w:after="0"/>
        <w:jc w:val="both"/>
      </w:pPr>
      <w:r w:rsidRPr="00E028EA">
        <w:t>The descriptors used at this stage include Coulombic and Lennard-Jones interaction energies between IL and CO₂, number and dynamics of IL–CO₂ hydrogen bonds, lifetimes of these interactions, effective free energy of interaction, local density, and global structural descriptors derived from molecular dynamics trajectories. This set was selected to directly represent the physical mechanisms responsible for CO₂ capture and stabilization, ensuring that the classification reflects real molecular affinity differences rather than artificial correlations.</w:t>
      </w:r>
    </w:p>
    <w:p w:rsidR="00E028EA" w:rsidRPr="00E028EA" w:rsidRDefault="00E028EA" w:rsidP="00E028EA">
      <w:pPr>
        <w:spacing w:after="0"/>
        <w:jc w:val="both"/>
      </w:pPr>
    </w:p>
    <w:p w:rsidR="004A193C" w:rsidRDefault="00000000" w:rsidP="00E028EA">
      <w:pPr>
        <w:spacing w:after="0"/>
        <w:jc w:val="both"/>
      </w:pPr>
      <w:r w:rsidRPr="00E028EA">
        <w:t>A critical step in this stage is the deterministic physical reordering of clusters after K-Means convergence. Since the labels assigned by the algorithm are arbitrary, clusters are reorganized based on average IL–CO₂ affinity, quantified by the sum of mean Coulomb and Lennard-Jones contributions. This procedure imposes a physically meaningful ordinal order, where Class 0 corresponds to systems with the lowest average CO₂ affinity and Class N to those with the highest affinity. This reordering transforms a purely geometric classification into a physically interpretable one, ensuring thermodynamic consistency and enabling the use of classes as supervised labels in the next stage.</w:t>
      </w:r>
    </w:p>
    <w:p w:rsidR="00E028EA" w:rsidRPr="00E028EA" w:rsidRDefault="00E028EA" w:rsidP="00E028EA">
      <w:pPr>
        <w:spacing w:after="0"/>
        <w:jc w:val="both"/>
      </w:pPr>
    </w:p>
    <w:p w:rsidR="004A193C" w:rsidRPr="00E028EA" w:rsidRDefault="00000000" w:rsidP="00E028EA">
      <w:pPr>
        <w:spacing w:after="0"/>
        <w:jc w:val="both"/>
      </w:pPr>
      <w:r w:rsidRPr="00E028EA">
        <w:t xml:space="preserve">The final output of Stage 1 is therefore a robust ordinal physical labeling, based exclusively on fundamental molecular information, capturing distinct IL–CO₂ interaction regimes. </w:t>
      </w:r>
      <w:r w:rsidRPr="00E028EA">
        <w:lastRenderedPageBreak/>
        <w:t>These classes constitute the conceptual and mathematical foundation for supervised neural network training in Stage 2, allowing the AI to learn how intrinsic AAIL properties translate into expected CO₂ absorption behavior.</w:t>
      </w:r>
    </w:p>
    <w:p w:rsidR="004A193C" w:rsidRPr="00E028EA" w:rsidRDefault="001E0D45" w:rsidP="00E028EA">
      <w:pPr>
        <w:spacing w:after="0"/>
        <w:jc w:val="both"/>
      </w:pPr>
      <w:r>
        <w:rPr>
          <w:noProof/>
        </w:rPr>
        <w:pict>
          <v:rect id="_x0000_i1025" alt="" style="width:425.2pt;height:.05pt;mso-width-percent:0;mso-height-percent:0;mso-width-percent:0;mso-height-percent:0" o:hralign="center" o:hrstd="t" o:hr="t"/>
        </w:pict>
      </w:r>
    </w:p>
    <w:p w:rsidR="004A193C" w:rsidRPr="00E028EA" w:rsidRDefault="00000000" w:rsidP="00E028EA">
      <w:pPr>
        <w:spacing w:after="0"/>
        <w:jc w:val="both"/>
        <w:rPr>
          <w:b/>
          <w:bCs/>
        </w:rPr>
      </w:pPr>
      <w:bookmarkStart w:id="5" w:name="X5b1feb80bcc3169384d098640199284569bf40a"/>
      <w:bookmarkEnd w:id="3"/>
      <w:bookmarkEnd w:id="4"/>
      <w:r w:rsidRPr="00E028EA">
        <w:rPr>
          <w:b/>
          <w:bCs/>
        </w:rPr>
        <w:t>3. Stage 2 — Supervised Learning with a Multilayer Neural Network (MLP)</w:t>
      </w:r>
    </w:p>
    <w:p w:rsidR="00E028EA" w:rsidRDefault="00E028EA" w:rsidP="00E028EA">
      <w:pPr>
        <w:spacing w:after="0"/>
        <w:jc w:val="both"/>
      </w:pPr>
    </w:p>
    <w:p w:rsidR="004A193C" w:rsidRPr="00E028EA" w:rsidRDefault="00000000" w:rsidP="00E028EA">
      <w:pPr>
        <w:spacing w:after="0"/>
        <w:jc w:val="both"/>
      </w:pPr>
      <w:r w:rsidRPr="00E028EA">
        <w:t xml:space="preserve">Stage 2 of </w:t>
      </w:r>
      <w:proofErr w:type="spellStart"/>
      <w:r w:rsidRPr="00E028EA">
        <w:t>FertiCO</w:t>
      </w:r>
      <w:proofErr w:type="spellEnd"/>
      <w:r w:rsidRPr="00E028EA">
        <w:t>₂-AI aims to learn, in a supervised manner, the functional relationship between intrinsic physicochemical descriptors of amino acid ionic liquids (AAILs)—which can be obtained independently of explicit CO₂ presence—and the ordinal CO₂ absorption class previously defined in Stage 1. This stage enables the AI model to act as an indirect performance predictor, inferring expected CO₂ capture behavior from structural, energetic, and dynamic properties of the system, which is essential for screening, rational design, and optimization of new materials.</w:t>
      </w:r>
    </w:p>
    <w:p w:rsidR="00E028EA" w:rsidRDefault="00E028EA" w:rsidP="00E028EA">
      <w:pPr>
        <w:spacing w:after="0"/>
        <w:jc w:val="both"/>
      </w:pPr>
    </w:p>
    <w:p w:rsidR="004A193C" w:rsidRPr="00E028EA" w:rsidRDefault="00000000" w:rsidP="00E028EA">
      <w:pPr>
        <w:spacing w:after="0"/>
        <w:jc w:val="both"/>
      </w:pPr>
      <w:r w:rsidRPr="00E028EA">
        <w:t>The adopted strategy avoids the direct use of CO₂-dependent descriptors at prediction time, significantly reducing computational cost and enabling application to systems that have not yet been simulated or synthesized. In this way, the neural network learns latent patterns connecting intrinsic AAIL properties to physical CO₂ interaction regimes, as characterized in Stage 1, allowing generalization to new systems within the learned physicochemical domain.</w:t>
      </w:r>
    </w:p>
    <w:p w:rsidR="00E028EA" w:rsidRDefault="00E028EA" w:rsidP="00E028EA">
      <w:pPr>
        <w:spacing w:after="0"/>
        <w:jc w:val="both"/>
      </w:pPr>
      <w:bookmarkStart w:id="6" w:name="neural-network-architecture"/>
    </w:p>
    <w:p w:rsidR="004A193C" w:rsidRPr="00E028EA" w:rsidRDefault="00000000" w:rsidP="00E028EA">
      <w:pPr>
        <w:spacing w:after="0"/>
        <w:jc w:val="both"/>
        <w:rPr>
          <w:b/>
          <w:bCs/>
        </w:rPr>
      </w:pPr>
      <w:r w:rsidRPr="00E028EA">
        <w:rPr>
          <w:b/>
          <w:bCs/>
        </w:rPr>
        <w:t>3.1 Neural Network Architecture</w:t>
      </w:r>
    </w:p>
    <w:p w:rsidR="00E028EA" w:rsidRDefault="00E028EA" w:rsidP="00E028EA">
      <w:pPr>
        <w:spacing w:after="0"/>
        <w:jc w:val="both"/>
      </w:pPr>
    </w:p>
    <w:p w:rsidR="004A193C" w:rsidRDefault="00000000" w:rsidP="00E028EA">
      <w:pPr>
        <w:spacing w:after="0"/>
        <w:jc w:val="both"/>
      </w:pPr>
      <w:r w:rsidRPr="00E028EA">
        <w:t>The supervised model is implemented as a Multilayer Perceptron (MLP), chosen for its proven ability to model complex nonlinear relationships in high-dimensional physicochemical descriptor spaces. The adopted architecture consists of two dense hidden layers with 128 and 32 neurons, respectively, representing a balanced compromise between expressive capacity and overfitting control, given the current dataset size.</w:t>
      </w:r>
    </w:p>
    <w:p w:rsidR="00E028EA" w:rsidRPr="00E028EA" w:rsidRDefault="00E028EA" w:rsidP="00E028EA">
      <w:pPr>
        <w:spacing w:after="0"/>
        <w:jc w:val="both"/>
      </w:pPr>
    </w:p>
    <w:p w:rsidR="004A193C" w:rsidRPr="00E028EA" w:rsidRDefault="00000000" w:rsidP="00E028EA">
      <w:pPr>
        <w:spacing w:after="0"/>
        <w:jc w:val="both"/>
      </w:pPr>
      <w:r w:rsidRPr="00E028EA">
        <w:t>Each layer uses the ReLU (Rectified Linear Unit) activation function, promoting numerical stability, efficient convergence, and representation of relevant nonlinearities. Training is performed using the Adam optimizer, which combines adaptive learning rates with efficient gradient estimation, resulting in robust convergence even for heterogeneous datasets. L2 regularization (alpha = 10</w:t>
      </w:r>
      <w:r w:rsidRPr="00E028EA">
        <w:rPr>
          <w:rFonts w:ascii="Cambria Math" w:hAnsi="Cambria Math" w:cs="Cambria Math"/>
        </w:rPr>
        <w:t>⁻</w:t>
      </w:r>
      <w:r w:rsidRPr="00E028EA">
        <w:t>⁵) is applied to network weights to penalize overly complex solutions and reduce overfitting risk, particularly important in moderately sized datasets.</w:t>
      </w:r>
    </w:p>
    <w:p w:rsidR="00E028EA" w:rsidRDefault="00E028EA" w:rsidP="00E028EA">
      <w:pPr>
        <w:spacing w:after="0"/>
        <w:jc w:val="both"/>
      </w:pPr>
    </w:p>
    <w:p w:rsidR="004A193C" w:rsidRPr="00E028EA" w:rsidRDefault="00000000" w:rsidP="00E028EA">
      <w:pPr>
        <w:spacing w:after="0"/>
        <w:jc w:val="both"/>
      </w:pPr>
      <w:r w:rsidRPr="00E028EA">
        <w:t>Additionally, the model incorporates early stopping, with a fraction of the training data reserved for internal validation. This mechanism automatically halts training when no significant validation improvement is observed, ensuring better generalization. The adaptive learning rate inherent to Adam further contributes to training stability and computational efficiency.</w:t>
      </w:r>
    </w:p>
    <w:p w:rsidR="00E028EA" w:rsidRDefault="00E028EA" w:rsidP="00E028EA">
      <w:pPr>
        <w:spacing w:after="0"/>
        <w:jc w:val="both"/>
      </w:pPr>
      <w:bookmarkStart w:id="7" w:name="input-descriptors"/>
      <w:bookmarkEnd w:id="6"/>
    </w:p>
    <w:p w:rsidR="00E028EA" w:rsidRDefault="00E028EA" w:rsidP="00E028EA">
      <w:pPr>
        <w:spacing w:after="0"/>
        <w:jc w:val="both"/>
        <w:rPr>
          <w:b/>
          <w:bCs/>
        </w:rPr>
      </w:pPr>
    </w:p>
    <w:p w:rsidR="00E028EA" w:rsidRDefault="00E028EA" w:rsidP="00E028EA">
      <w:pPr>
        <w:spacing w:after="0"/>
        <w:jc w:val="both"/>
        <w:rPr>
          <w:b/>
          <w:bCs/>
        </w:rPr>
      </w:pPr>
    </w:p>
    <w:p w:rsidR="00E028EA" w:rsidRDefault="00E028EA" w:rsidP="00E028EA">
      <w:pPr>
        <w:spacing w:after="0"/>
        <w:jc w:val="both"/>
        <w:rPr>
          <w:b/>
          <w:bCs/>
        </w:rPr>
      </w:pPr>
    </w:p>
    <w:p w:rsidR="00E028EA" w:rsidRDefault="00E028EA" w:rsidP="00E028EA">
      <w:pPr>
        <w:spacing w:after="0"/>
        <w:jc w:val="both"/>
        <w:rPr>
          <w:b/>
          <w:bCs/>
        </w:rPr>
      </w:pPr>
    </w:p>
    <w:p w:rsidR="004A193C" w:rsidRPr="00E028EA" w:rsidRDefault="00000000" w:rsidP="00E028EA">
      <w:pPr>
        <w:spacing w:after="0"/>
        <w:jc w:val="both"/>
        <w:rPr>
          <w:b/>
          <w:bCs/>
        </w:rPr>
      </w:pPr>
      <w:r w:rsidRPr="00E028EA">
        <w:rPr>
          <w:b/>
          <w:bCs/>
        </w:rPr>
        <w:lastRenderedPageBreak/>
        <w:t>3.2 Input Descriptors</w:t>
      </w:r>
    </w:p>
    <w:p w:rsidR="00E028EA" w:rsidRDefault="00E028EA" w:rsidP="00E028EA">
      <w:pPr>
        <w:spacing w:after="0"/>
        <w:jc w:val="both"/>
      </w:pPr>
    </w:p>
    <w:p w:rsidR="004A193C" w:rsidRPr="00E028EA" w:rsidRDefault="00000000" w:rsidP="00E028EA">
      <w:pPr>
        <w:spacing w:after="0"/>
        <w:jc w:val="both"/>
      </w:pPr>
      <w:r w:rsidRPr="00E028EA">
        <w:t>The set of input descriptors was carefully selected to reflect intrinsic, measurable, and physically interpretable properties of AAILs, ensuring that model decisions are grounded in solid molecular principles. The descriptors include:</w:t>
      </w:r>
    </w:p>
    <w:p w:rsidR="00E028EA" w:rsidRDefault="00E028EA" w:rsidP="00E028EA">
      <w:pPr>
        <w:spacing w:after="0"/>
        <w:jc w:val="both"/>
      </w:pPr>
    </w:p>
    <w:p w:rsidR="00E028EA" w:rsidRDefault="00000000" w:rsidP="00E028EA">
      <w:pPr>
        <w:pStyle w:val="PargrafodaLista"/>
        <w:numPr>
          <w:ilvl w:val="0"/>
          <w:numId w:val="7"/>
        </w:numPr>
        <w:spacing w:after="0"/>
        <w:jc w:val="both"/>
      </w:pPr>
      <w:r w:rsidRPr="00E028EA">
        <w:t>Elemental composition of the system (relative contents of C, N, O, and H), directly influencing polarity, hydrogen-bonding capacity, and electrostatic interactions;</w:t>
      </w:r>
    </w:p>
    <w:p w:rsidR="00E028EA" w:rsidRDefault="00000000" w:rsidP="00E028EA">
      <w:pPr>
        <w:pStyle w:val="PargrafodaLista"/>
        <w:numPr>
          <w:ilvl w:val="0"/>
          <w:numId w:val="7"/>
        </w:numPr>
        <w:spacing w:after="0"/>
        <w:jc w:val="both"/>
      </w:pPr>
      <w:r w:rsidRPr="00E028EA">
        <w:t>Proportion of ionic liquid components, capturing mixture effects and cooperative behavior between species;</w:t>
      </w:r>
    </w:p>
    <w:p w:rsidR="00E028EA" w:rsidRDefault="00000000" w:rsidP="00E028EA">
      <w:pPr>
        <w:pStyle w:val="PargrafodaLista"/>
        <w:numPr>
          <w:ilvl w:val="0"/>
          <w:numId w:val="7"/>
        </w:numPr>
        <w:spacing w:after="0"/>
        <w:jc w:val="both"/>
      </w:pPr>
      <w:r w:rsidRPr="00E028EA">
        <w:t>System density, associated with structural organization and availability of interaction sites;</w:t>
      </w:r>
    </w:p>
    <w:p w:rsidR="00E028EA" w:rsidRDefault="00000000" w:rsidP="00E028EA">
      <w:pPr>
        <w:pStyle w:val="PargrafodaLista"/>
        <w:numPr>
          <w:ilvl w:val="0"/>
          <w:numId w:val="7"/>
        </w:numPr>
        <w:spacing w:after="0"/>
        <w:jc w:val="both"/>
      </w:pPr>
      <w:r w:rsidRPr="00E028EA">
        <w:t>Diffusion coefficient (MSD), reflecting molecular mobility and medium dynamics;</w:t>
      </w:r>
    </w:p>
    <w:p w:rsidR="00E028EA" w:rsidRDefault="00000000" w:rsidP="00E028EA">
      <w:pPr>
        <w:pStyle w:val="PargrafodaLista"/>
        <w:numPr>
          <w:ilvl w:val="0"/>
          <w:numId w:val="7"/>
        </w:numPr>
        <w:spacing w:after="0"/>
        <w:jc w:val="both"/>
      </w:pPr>
      <w:r w:rsidRPr="00E028EA">
        <w:t>IL–IL interaction energies (Coulombic and Lennard-Jones), representing the balance between electrostatic and dispersive forces governing liquid structure;</w:t>
      </w:r>
    </w:p>
    <w:p w:rsidR="004A193C" w:rsidRPr="00E028EA" w:rsidRDefault="00000000" w:rsidP="00E028EA">
      <w:pPr>
        <w:pStyle w:val="PargrafodaLista"/>
        <w:numPr>
          <w:ilvl w:val="0"/>
          <w:numId w:val="7"/>
        </w:numPr>
        <w:spacing w:after="0"/>
        <w:jc w:val="both"/>
      </w:pPr>
      <w:r w:rsidRPr="00E028EA">
        <w:t>Hydrogen bond properties, including average number, dissociation energy, and lifetime, which are fundamental for describing the local interaction network and its dynamic stability.</w:t>
      </w:r>
    </w:p>
    <w:p w:rsidR="00E028EA" w:rsidRDefault="00E028EA" w:rsidP="00E028EA">
      <w:pPr>
        <w:spacing w:after="0"/>
        <w:jc w:val="both"/>
      </w:pPr>
    </w:p>
    <w:p w:rsidR="004A193C" w:rsidRPr="00E028EA" w:rsidRDefault="00000000" w:rsidP="00E028EA">
      <w:pPr>
        <w:spacing w:after="0"/>
        <w:jc w:val="both"/>
      </w:pPr>
      <w:r w:rsidRPr="00E028EA">
        <w:t>No human, sensitive, contextual, or personally identifiable experimental data are used. All training relies exclusively on physicochemical and structural information derived from computational simulations or open literature data, reinforcing compliance with data protection regulations and ensuring scientific objectivity, interpretability, and auditability.</w:t>
      </w:r>
    </w:p>
    <w:p w:rsidR="004A193C" w:rsidRPr="00E028EA" w:rsidRDefault="004A193C" w:rsidP="00E028EA">
      <w:pPr>
        <w:spacing w:after="0"/>
        <w:jc w:val="both"/>
      </w:pPr>
    </w:p>
    <w:p w:rsidR="004A193C" w:rsidRPr="00E028EA" w:rsidRDefault="00000000" w:rsidP="00E028EA">
      <w:pPr>
        <w:spacing w:after="0"/>
        <w:jc w:val="both"/>
        <w:rPr>
          <w:b/>
          <w:bCs/>
        </w:rPr>
      </w:pPr>
      <w:bookmarkStart w:id="8" w:name="training-and-validation-strategies"/>
      <w:bookmarkEnd w:id="5"/>
      <w:bookmarkEnd w:id="7"/>
      <w:r w:rsidRPr="00E028EA">
        <w:rPr>
          <w:b/>
          <w:bCs/>
        </w:rPr>
        <w:t>4. Training and Validation Strategies</w:t>
      </w:r>
    </w:p>
    <w:p w:rsidR="00E028EA" w:rsidRDefault="00E028EA" w:rsidP="00E028EA">
      <w:pPr>
        <w:spacing w:after="0"/>
        <w:jc w:val="both"/>
      </w:pPr>
    </w:p>
    <w:p w:rsidR="004A193C" w:rsidRPr="00E028EA" w:rsidRDefault="00000000" w:rsidP="00E028EA">
      <w:pPr>
        <w:spacing w:after="0"/>
        <w:jc w:val="both"/>
      </w:pPr>
      <w:r w:rsidRPr="00E028EA">
        <w:t>The training and validation strategies adopted in FertiCO₂-AI were designed to ensure statistical robustness, generalization capability, and consistent physicochemical interpretation of results. Given the ordinal nature of CO₂ absorption classes and the moderate dataset size, established methodologies were employed to minimize bias, prevent overfitting, and provide realistic performance estimates on unseen systems.</w:t>
      </w:r>
    </w:p>
    <w:p w:rsidR="00E028EA" w:rsidRDefault="00E028EA" w:rsidP="00E028EA">
      <w:pPr>
        <w:spacing w:after="0"/>
        <w:jc w:val="both"/>
        <w:rPr>
          <w:b/>
          <w:bCs/>
        </w:rPr>
      </w:pPr>
      <w:bookmarkStart w:id="9" w:name="stratified-cross-validation"/>
    </w:p>
    <w:p w:rsidR="004A193C" w:rsidRPr="00E028EA" w:rsidRDefault="00000000" w:rsidP="00E028EA">
      <w:pPr>
        <w:spacing w:after="0"/>
        <w:jc w:val="both"/>
        <w:rPr>
          <w:b/>
          <w:bCs/>
        </w:rPr>
      </w:pPr>
      <w:r w:rsidRPr="00E028EA">
        <w:rPr>
          <w:b/>
          <w:bCs/>
        </w:rPr>
        <w:t>4.1 Stratified Cross-Validation</w:t>
      </w:r>
    </w:p>
    <w:p w:rsidR="00E028EA" w:rsidRDefault="00E028EA" w:rsidP="00E028EA">
      <w:pPr>
        <w:spacing w:after="0"/>
        <w:jc w:val="both"/>
      </w:pPr>
    </w:p>
    <w:p w:rsidR="004A193C" w:rsidRPr="00E028EA" w:rsidRDefault="00000000" w:rsidP="00E028EA">
      <w:pPr>
        <w:spacing w:after="0"/>
        <w:jc w:val="both"/>
      </w:pPr>
      <w:r w:rsidRPr="00E028EA">
        <w:t>Supervised model training is conducted using 5-fold stratified cross-validation. This approach ensures that the relative proportion of ordinal CO₂ absorption classes is preserved in each training and test split, avoiding artificial scenarios in which certain classes are underrepresented or absent in a fold. This characteristic is particularly important for ordinal classification problems, where class distribution carries physical meaning associated with distinct IL–CO₂ affinity regimes.</w:t>
      </w:r>
    </w:p>
    <w:p w:rsidR="00E028EA" w:rsidRDefault="00E028EA" w:rsidP="00E028EA">
      <w:pPr>
        <w:spacing w:after="0"/>
        <w:jc w:val="both"/>
      </w:pPr>
    </w:p>
    <w:p w:rsidR="004A193C" w:rsidRPr="00E028EA" w:rsidRDefault="00000000" w:rsidP="00E028EA">
      <w:pPr>
        <w:spacing w:after="0"/>
        <w:jc w:val="both"/>
      </w:pPr>
      <w:r w:rsidRPr="00E028EA">
        <w:t>At each iteration, the model is trained on independent data subsets and evaluated on data not used during training, providing statistically robust estimates of average performance and variability across folds. This strategy reduces dependence on a single train–test split and yields a more reliable assessment of generalization performance.</w:t>
      </w:r>
    </w:p>
    <w:p w:rsidR="004A193C" w:rsidRPr="00E028EA" w:rsidRDefault="00000000" w:rsidP="00E028EA">
      <w:pPr>
        <w:spacing w:after="0"/>
        <w:jc w:val="both"/>
        <w:rPr>
          <w:b/>
          <w:bCs/>
        </w:rPr>
      </w:pPr>
      <w:bookmarkStart w:id="10" w:name="class-balancing"/>
      <w:bookmarkEnd w:id="9"/>
      <w:r w:rsidRPr="00E028EA">
        <w:rPr>
          <w:b/>
          <w:bCs/>
        </w:rPr>
        <w:lastRenderedPageBreak/>
        <w:t>4.2 Class Balancing</w:t>
      </w:r>
    </w:p>
    <w:p w:rsidR="00E028EA" w:rsidRDefault="00E028EA" w:rsidP="00E028EA">
      <w:pPr>
        <w:spacing w:after="0"/>
        <w:jc w:val="both"/>
      </w:pPr>
    </w:p>
    <w:p w:rsidR="004A193C" w:rsidRPr="00E028EA" w:rsidRDefault="00000000" w:rsidP="00E028EA">
      <w:pPr>
        <w:spacing w:after="0"/>
        <w:jc w:val="both"/>
      </w:pPr>
      <w:r w:rsidRPr="00E028EA">
        <w:t>To mitigate statistical biases associated with natural class imbalance, an oversampling strategy is applied exclusively to the training set within each cross-validation fold. This ensures that all ordinal classes have equal representation during learning, preventing systematic bias toward more frequent classes.</w:t>
      </w:r>
    </w:p>
    <w:p w:rsidR="00E028EA" w:rsidRDefault="00E028EA" w:rsidP="00E028EA">
      <w:pPr>
        <w:spacing w:after="0"/>
        <w:jc w:val="both"/>
      </w:pPr>
    </w:p>
    <w:p w:rsidR="004A193C" w:rsidRPr="00E028EA" w:rsidRDefault="00000000" w:rsidP="00E028EA">
      <w:pPr>
        <w:spacing w:after="0"/>
        <w:jc w:val="both"/>
      </w:pPr>
      <w:r w:rsidRPr="00E028EA">
        <w:t>Balancing is performed in a controlled manner, preserving the original (unbalanced) test set to avoid data leakage and ensure that reported metrics reflect real-world performance under natural class distributions. This choice is essential for maintaining validation integrity and accurately evaluating the model’s ability to handle minority classes, which often correspond to extreme and technologically relevant physicochemical regimes.</w:t>
      </w:r>
    </w:p>
    <w:p w:rsidR="00E028EA" w:rsidRDefault="00E028EA" w:rsidP="00E028EA">
      <w:pPr>
        <w:spacing w:after="0"/>
        <w:jc w:val="both"/>
      </w:pPr>
      <w:bookmarkStart w:id="11" w:name="performance-metrics"/>
      <w:bookmarkEnd w:id="10"/>
    </w:p>
    <w:p w:rsidR="004A193C" w:rsidRPr="00E028EA" w:rsidRDefault="00000000" w:rsidP="00E028EA">
      <w:pPr>
        <w:spacing w:after="0"/>
        <w:jc w:val="both"/>
        <w:rPr>
          <w:b/>
          <w:bCs/>
        </w:rPr>
      </w:pPr>
      <w:r w:rsidRPr="00E028EA">
        <w:rPr>
          <w:b/>
          <w:bCs/>
        </w:rPr>
        <w:t>4.3 Performance Metrics</w:t>
      </w:r>
    </w:p>
    <w:p w:rsidR="00E028EA" w:rsidRDefault="00E028EA" w:rsidP="00E028EA">
      <w:pPr>
        <w:spacing w:after="0"/>
        <w:jc w:val="both"/>
      </w:pPr>
    </w:p>
    <w:p w:rsidR="004A193C" w:rsidRPr="00E028EA" w:rsidRDefault="00000000" w:rsidP="00E028EA">
      <w:pPr>
        <w:spacing w:after="0"/>
        <w:jc w:val="both"/>
      </w:pPr>
      <w:r w:rsidRPr="00E028EA">
        <w:t>Model performance is evaluated using a complementary set of quantitative metrics designed to capture different aspects of predictive quality and physical interpretability:</w:t>
      </w:r>
    </w:p>
    <w:p w:rsidR="00E028EA" w:rsidRDefault="00E028EA" w:rsidP="00E028EA">
      <w:pPr>
        <w:spacing w:after="0"/>
        <w:jc w:val="both"/>
      </w:pPr>
    </w:p>
    <w:p w:rsidR="00E028EA" w:rsidRDefault="00000000" w:rsidP="00E028EA">
      <w:pPr>
        <w:pStyle w:val="PargrafodaLista"/>
        <w:numPr>
          <w:ilvl w:val="0"/>
          <w:numId w:val="8"/>
        </w:numPr>
        <w:spacing w:after="0"/>
        <w:jc w:val="both"/>
      </w:pPr>
      <w:r w:rsidRPr="00E028EA">
        <w:t>Overall accuracy, measuring the total proportion of correct classifications;</w:t>
      </w:r>
    </w:p>
    <w:p w:rsidR="00E028EA" w:rsidRDefault="00000000" w:rsidP="00E028EA">
      <w:pPr>
        <w:pStyle w:val="PargrafodaLista"/>
        <w:numPr>
          <w:ilvl w:val="0"/>
          <w:numId w:val="8"/>
        </w:numPr>
        <w:spacing w:after="0"/>
        <w:jc w:val="both"/>
      </w:pPr>
      <w:r w:rsidRPr="00E028EA">
        <w:t>Macro-averaged F1-score, assigning equal weight to all classes and being particularly sensitive to class imbalance;</w:t>
      </w:r>
    </w:p>
    <w:p w:rsidR="00E028EA" w:rsidRDefault="00000000" w:rsidP="00E028EA">
      <w:pPr>
        <w:pStyle w:val="PargrafodaLista"/>
        <w:numPr>
          <w:ilvl w:val="0"/>
          <w:numId w:val="8"/>
        </w:numPr>
        <w:spacing w:after="0"/>
        <w:jc w:val="both"/>
      </w:pPr>
      <w:r w:rsidRPr="00E028EA">
        <w:t>Ordinal mean absolute error (ordinal MAE), quantifying the average deviation between predicted and true classes while accounting for their physical ordering;</w:t>
      </w:r>
    </w:p>
    <w:p w:rsidR="004A193C" w:rsidRPr="00E028EA" w:rsidRDefault="00000000" w:rsidP="00E028EA">
      <w:pPr>
        <w:pStyle w:val="PargrafodaLista"/>
        <w:numPr>
          <w:ilvl w:val="0"/>
          <w:numId w:val="8"/>
        </w:numPr>
        <w:spacing w:after="0"/>
        <w:jc w:val="both"/>
      </w:pPr>
      <w:r w:rsidRPr="00E028EA">
        <w:t>Normalized confusion matrix, enabling visualization of correct and incorrect predictions between adjacent classes and identification of overlap regions in descriptor space.</w:t>
      </w:r>
    </w:p>
    <w:p w:rsidR="00E028EA" w:rsidRDefault="00E028EA" w:rsidP="00E028EA">
      <w:pPr>
        <w:spacing w:after="0"/>
        <w:jc w:val="both"/>
      </w:pPr>
    </w:p>
    <w:p w:rsidR="004A193C" w:rsidRPr="00E028EA" w:rsidRDefault="00000000" w:rsidP="00E028EA">
      <w:pPr>
        <w:spacing w:after="0"/>
        <w:jc w:val="both"/>
      </w:pPr>
      <w:r w:rsidRPr="00E028EA">
        <w:t>The combined use of these metrics provides a comprehensive evaluation that goes beyond exact-match accuracy. In particular, ordinal MAE and the confusion matrix offer refined physicochemical insight, distinguishing critical errors (confusion between physically distant regimes) from acceptable ones (confusion between adjacent classes).</w:t>
      </w:r>
    </w:p>
    <w:p w:rsidR="004A193C" w:rsidRPr="00E028EA" w:rsidRDefault="004A193C" w:rsidP="00E028EA">
      <w:pPr>
        <w:spacing w:after="0"/>
        <w:jc w:val="both"/>
      </w:pPr>
    </w:p>
    <w:p w:rsidR="004A193C" w:rsidRPr="00E028EA" w:rsidRDefault="00000000" w:rsidP="00E028EA">
      <w:pPr>
        <w:spacing w:after="0"/>
        <w:jc w:val="both"/>
        <w:rPr>
          <w:b/>
          <w:bCs/>
        </w:rPr>
      </w:pPr>
      <w:bookmarkStart w:id="12" w:name="X5d9ccde124158425c33875561cc7bf08a190487"/>
      <w:bookmarkEnd w:id="8"/>
      <w:bookmarkEnd w:id="11"/>
      <w:r w:rsidRPr="00E028EA">
        <w:rPr>
          <w:b/>
          <w:bCs/>
        </w:rPr>
        <w:t>5. Stage 3 — Physical Interpretation and Uncertainty</w:t>
      </w:r>
    </w:p>
    <w:p w:rsidR="00E028EA" w:rsidRDefault="00E028EA" w:rsidP="00E028EA">
      <w:pPr>
        <w:spacing w:after="0"/>
        <w:jc w:val="both"/>
      </w:pPr>
    </w:p>
    <w:p w:rsidR="004A193C" w:rsidRPr="00E028EA" w:rsidRDefault="00000000" w:rsidP="00E028EA">
      <w:pPr>
        <w:spacing w:after="0"/>
        <w:jc w:val="both"/>
      </w:pPr>
      <w:r w:rsidRPr="00E028EA">
        <w:t xml:space="preserve">Stage 3 of </w:t>
      </w:r>
      <w:proofErr w:type="spellStart"/>
      <w:r w:rsidRPr="00E028EA">
        <w:t>FertiCO</w:t>
      </w:r>
      <w:proofErr w:type="spellEnd"/>
      <w:r w:rsidRPr="00E028EA">
        <w:t>₂-AI was designed to transform the probabilistic output of the neural network into physically interpretable information, explicitly incorporating prediction uncertainty. Unlike purely classificatory approaches, this stage recognizes that CO₂ absorption regimes form a physical continuum, with partially overlapping class boundaries. Thus, Stage 3 functions as an interpretation, reliability, and decision-support module, connecting machine learning outputs to measurable physicochemical descriptors.</w:t>
      </w:r>
    </w:p>
    <w:p w:rsidR="00E028EA" w:rsidRDefault="00E028EA" w:rsidP="00E028EA">
      <w:pPr>
        <w:spacing w:after="0"/>
        <w:jc w:val="both"/>
      </w:pPr>
      <w:bookmarkStart w:id="13" w:name="cluster-conditional-analysis"/>
    </w:p>
    <w:p w:rsidR="004A193C" w:rsidRPr="00E028EA" w:rsidRDefault="00000000" w:rsidP="00E028EA">
      <w:pPr>
        <w:spacing w:after="0"/>
        <w:jc w:val="both"/>
        <w:rPr>
          <w:b/>
          <w:bCs/>
        </w:rPr>
      </w:pPr>
      <w:r w:rsidRPr="00E028EA">
        <w:rPr>
          <w:b/>
          <w:bCs/>
        </w:rPr>
        <w:t>5.1 Cluster-Conditional Analysis</w:t>
      </w:r>
    </w:p>
    <w:p w:rsidR="00E028EA" w:rsidRDefault="00E028EA" w:rsidP="00E028EA">
      <w:pPr>
        <w:spacing w:after="0"/>
        <w:jc w:val="both"/>
      </w:pPr>
    </w:p>
    <w:p w:rsidR="004A193C" w:rsidRPr="00E028EA" w:rsidRDefault="00000000" w:rsidP="00E028EA">
      <w:pPr>
        <w:spacing w:after="0"/>
        <w:jc w:val="both"/>
      </w:pPr>
      <w:r w:rsidRPr="00E028EA">
        <w:t xml:space="preserve">For each physical CO₂ absorption class defined in Stage 1, robust descriptive statistics of key IL–CO₂ interaction descriptors are computed using only systems belonging to each </w:t>
      </w:r>
      <w:r w:rsidRPr="00E028EA">
        <w:lastRenderedPageBreak/>
        <w:t>cluster. These statistics provide a quantitative characterization of the physicochemical regimes associated with different CO₂ affinity levels.</w:t>
      </w:r>
    </w:p>
    <w:p w:rsidR="00E028EA" w:rsidRDefault="00E028EA" w:rsidP="00E028EA">
      <w:pPr>
        <w:spacing w:after="0"/>
        <w:jc w:val="both"/>
      </w:pPr>
    </w:p>
    <w:p w:rsidR="004A193C" w:rsidRPr="00E028EA" w:rsidRDefault="00000000" w:rsidP="00E028EA">
      <w:pPr>
        <w:spacing w:after="0"/>
        <w:jc w:val="both"/>
      </w:pPr>
      <w:r w:rsidRPr="00E028EA">
        <w:t>Computed quantities include:</w:t>
      </w:r>
    </w:p>
    <w:p w:rsidR="00E028EA" w:rsidRDefault="00E028EA" w:rsidP="00E028EA">
      <w:pPr>
        <w:spacing w:after="0"/>
        <w:jc w:val="both"/>
      </w:pPr>
    </w:p>
    <w:p w:rsidR="00E028EA" w:rsidRDefault="00000000" w:rsidP="00E028EA">
      <w:pPr>
        <w:pStyle w:val="PargrafodaLista"/>
        <w:numPr>
          <w:ilvl w:val="0"/>
          <w:numId w:val="9"/>
        </w:numPr>
        <w:spacing w:after="0"/>
        <w:jc w:val="both"/>
      </w:pPr>
      <w:r w:rsidRPr="00E028EA">
        <w:t>Mean and standard deviation, representing typical behavior and internal variability;</w:t>
      </w:r>
    </w:p>
    <w:p w:rsidR="00E028EA" w:rsidRDefault="00000000" w:rsidP="00E028EA">
      <w:pPr>
        <w:pStyle w:val="PargrafodaLista"/>
        <w:numPr>
          <w:ilvl w:val="0"/>
          <w:numId w:val="9"/>
        </w:numPr>
        <w:spacing w:after="0"/>
        <w:jc w:val="both"/>
      </w:pPr>
      <w:r w:rsidRPr="00E028EA">
        <w:t>Robust percentile intervals (5–95%), reducing the influence of extreme values;</w:t>
      </w:r>
    </w:p>
    <w:p w:rsidR="00E028EA" w:rsidRDefault="00000000" w:rsidP="00E028EA">
      <w:pPr>
        <w:pStyle w:val="PargrafodaLista"/>
        <w:numPr>
          <w:ilvl w:val="0"/>
          <w:numId w:val="9"/>
        </w:numPr>
        <w:spacing w:after="0"/>
        <w:jc w:val="both"/>
      </w:pPr>
      <w:r w:rsidRPr="00E028EA">
        <w:t>Full observed range (minimum–maximum), capturing the complete extent of variation;</w:t>
      </w:r>
    </w:p>
    <w:p w:rsidR="004A193C" w:rsidRPr="00E028EA" w:rsidRDefault="00000000" w:rsidP="00E028EA">
      <w:pPr>
        <w:pStyle w:val="PargrafodaLista"/>
        <w:numPr>
          <w:ilvl w:val="0"/>
          <w:numId w:val="9"/>
        </w:numPr>
        <w:spacing w:after="0"/>
        <w:jc w:val="both"/>
      </w:pPr>
      <w:r w:rsidRPr="00E028EA">
        <w:t>Sample size per class, providing statistical context for reliability assessment.</w:t>
      </w:r>
    </w:p>
    <w:p w:rsidR="00E028EA" w:rsidRDefault="00E028EA" w:rsidP="00E028EA">
      <w:pPr>
        <w:spacing w:after="0"/>
        <w:jc w:val="both"/>
      </w:pPr>
    </w:p>
    <w:p w:rsidR="004A193C" w:rsidRPr="00E028EA" w:rsidRDefault="00000000" w:rsidP="00E028EA">
      <w:pPr>
        <w:spacing w:after="0"/>
        <w:jc w:val="both"/>
      </w:pPr>
      <w:r w:rsidRPr="00E028EA">
        <w:t>This conditional analysis associates each ordinal class with well-defined physicochemical ranges, enabling interpretation of model output in terms of interaction energies, hydrogen-bond networks, and thermodynamic stability of CO₂ capture.</w:t>
      </w:r>
    </w:p>
    <w:p w:rsidR="00E028EA" w:rsidRDefault="00E028EA" w:rsidP="00E028EA">
      <w:pPr>
        <w:spacing w:after="0"/>
        <w:jc w:val="both"/>
      </w:pPr>
      <w:bookmarkStart w:id="14" w:name="probability-weighted-estimates"/>
      <w:bookmarkEnd w:id="13"/>
    </w:p>
    <w:p w:rsidR="004A193C" w:rsidRPr="00E028EA" w:rsidRDefault="00000000" w:rsidP="00E028EA">
      <w:pPr>
        <w:spacing w:after="0"/>
        <w:jc w:val="both"/>
        <w:rPr>
          <w:b/>
          <w:bCs/>
        </w:rPr>
      </w:pPr>
      <w:r w:rsidRPr="00E028EA">
        <w:rPr>
          <w:b/>
          <w:bCs/>
        </w:rPr>
        <w:t>5.2 Probability-Weighted Estimates</w:t>
      </w:r>
    </w:p>
    <w:p w:rsidR="00E028EA" w:rsidRDefault="00E028EA" w:rsidP="00E028EA">
      <w:pPr>
        <w:spacing w:after="0"/>
        <w:jc w:val="both"/>
      </w:pPr>
    </w:p>
    <w:p w:rsidR="004A193C" w:rsidRPr="00E028EA" w:rsidRDefault="00000000" w:rsidP="00E028EA">
      <w:pPr>
        <w:spacing w:after="0"/>
        <w:jc w:val="both"/>
      </w:pPr>
      <w:r w:rsidRPr="00E028EA">
        <w:t>Rather than producing only a discrete class, the model outputs a probability distribution over all physical classes, reflecting inherent prediction uncertainty. Based on this distribution, Stage 3 computes probability-weighted physicochemical estimates, combining information from multiple clusters when necessary.</w:t>
      </w:r>
    </w:p>
    <w:p w:rsidR="00E028EA" w:rsidRDefault="00E028EA" w:rsidP="00E028EA">
      <w:pPr>
        <w:spacing w:after="0"/>
        <w:jc w:val="both"/>
      </w:pPr>
    </w:p>
    <w:p w:rsidR="004A193C" w:rsidRPr="00E028EA" w:rsidRDefault="00000000" w:rsidP="00E028EA">
      <w:pPr>
        <w:spacing w:after="0"/>
        <w:jc w:val="both"/>
      </w:pPr>
      <w:r w:rsidRPr="00E028EA">
        <w:t>This approach enables:</w:t>
      </w:r>
    </w:p>
    <w:p w:rsidR="00E028EA" w:rsidRDefault="00E028EA" w:rsidP="00E028EA">
      <w:pPr>
        <w:spacing w:after="0"/>
        <w:jc w:val="both"/>
      </w:pPr>
    </w:p>
    <w:p w:rsidR="00E028EA" w:rsidRDefault="00000000" w:rsidP="00E028EA">
      <w:pPr>
        <w:pStyle w:val="PargrafodaLista"/>
        <w:numPr>
          <w:ilvl w:val="0"/>
          <w:numId w:val="10"/>
        </w:numPr>
        <w:spacing w:after="0"/>
        <w:jc w:val="both"/>
      </w:pPr>
      <w:r w:rsidRPr="00E028EA">
        <w:t>Explicit quantification of effective uncertainty by incorporating probability dispersion;</w:t>
      </w:r>
    </w:p>
    <w:p w:rsidR="00E028EA" w:rsidRDefault="00000000" w:rsidP="00E028EA">
      <w:pPr>
        <w:pStyle w:val="PargrafodaLista"/>
        <w:numPr>
          <w:ilvl w:val="0"/>
          <w:numId w:val="10"/>
        </w:numPr>
        <w:spacing w:after="0"/>
        <w:jc w:val="both"/>
      </w:pPr>
      <w:r w:rsidRPr="00E028EA">
        <w:t>Identification of overlap regions between physical regimes, particularly relevant for systems near affinity boundaries;</w:t>
      </w:r>
    </w:p>
    <w:p w:rsidR="004A193C" w:rsidRPr="00E028EA" w:rsidRDefault="00000000" w:rsidP="00E028EA">
      <w:pPr>
        <w:pStyle w:val="PargrafodaLista"/>
        <w:numPr>
          <w:ilvl w:val="0"/>
          <w:numId w:val="10"/>
        </w:numPr>
        <w:spacing w:after="0"/>
        <w:jc w:val="both"/>
      </w:pPr>
      <w:r w:rsidRPr="00E028EA">
        <w:t>Robustness assessment, distinguishing predictions dominated by a single class from those involving multiple contributing regimes.</w:t>
      </w:r>
    </w:p>
    <w:p w:rsidR="00E028EA" w:rsidRDefault="00E028EA" w:rsidP="00E028EA">
      <w:pPr>
        <w:spacing w:after="0"/>
        <w:jc w:val="both"/>
      </w:pPr>
    </w:p>
    <w:p w:rsidR="004A193C" w:rsidRPr="00E028EA" w:rsidRDefault="00000000" w:rsidP="00E028EA">
      <w:pPr>
        <w:spacing w:after="0"/>
        <w:jc w:val="both"/>
      </w:pPr>
      <w:r w:rsidRPr="00E028EA">
        <w:t>Thus, the model avoids overly rigid interpretations and provides predictions aligned with the continuous nature of underlying physicochemical phenomena.</w:t>
      </w:r>
    </w:p>
    <w:p w:rsidR="00E028EA" w:rsidRDefault="00E028EA" w:rsidP="00E028EA">
      <w:pPr>
        <w:spacing w:after="0"/>
        <w:jc w:val="both"/>
      </w:pPr>
      <w:bookmarkStart w:id="15" w:name="reliability-indices"/>
      <w:bookmarkEnd w:id="14"/>
    </w:p>
    <w:p w:rsidR="004A193C" w:rsidRPr="00E028EA" w:rsidRDefault="00000000" w:rsidP="00E028EA">
      <w:pPr>
        <w:spacing w:after="0"/>
        <w:jc w:val="both"/>
        <w:rPr>
          <w:b/>
          <w:bCs/>
        </w:rPr>
      </w:pPr>
      <w:r w:rsidRPr="00E028EA">
        <w:rPr>
          <w:b/>
          <w:bCs/>
        </w:rPr>
        <w:t>5.3 Reliability Indices</w:t>
      </w:r>
    </w:p>
    <w:p w:rsidR="00E028EA" w:rsidRDefault="00E028EA" w:rsidP="00E028EA">
      <w:pPr>
        <w:spacing w:after="0"/>
        <w:jc w:val="both"/>
      </w:pPr>
    </w:p>
    <w:p w:rsidR="004A193C" w:rsidRPr="00E028EA" w:rsidRDefault="00000000" w:rsidP="00E028EA">
      <w:pPr>
        <w:spacing w:after="0"/>
        <w:jc w:val="both"/>
      </w:pPr>
      <w:r w:rsidRPr="00E028EA">
        <w:t>To support decision-making and rational screening of new AAILs, FertiCO₂-AI automatically provides quantitative and qualitative reliability indices, including:</w:t>
      </w:r>
    </w:p>
    <w:p w:rsidR="00E028EA" w:rsidRDefault="00E028EA" w:rsidP="00E028EA">
      <w:pPr>
        <w:spacing w:after="0"/>
        <w:jc w:val="both"/>
      </w:pPr>
    </w:p>
    <w:p w:rsidR="00E028EA" w:rsidRDefault="00000000" w:rsidP="00E028EA">
      <w:pPr>
        <w:pStyle w:val="PargrafodaLista"/>
        <w:numPr>
          <w:ilvl w:val="0"/>
          <w:numId w:val="11"/>
        </w:numPr>
        <w:spacing w:after="0"/>
        <w:jc w:val="both"/>
      </w:pPr>
      <w:r w:rsidRPr="00E028EA">
        <w:t>Entropy-based confidence index, measuring the concentration of the probability distribution;</w:t>
      </w:r>
    </w:p>
    <w:p w:rsidR="00E028EA" w:rsidRDefault="00000000" w:rsidP="00E028EA">
      <w:pPr>
        <w:pStyle w:val="PargrafodaLista"/>
        <w:numPr>
          <w:ilvl w:val="0"/>
          <w:numId w:val="11"/>
        </w:numPr>
        <w:spacing w:after="0"/>
        <w:jc w:val="both"/>
      </w:pPr>
      <w:r w:rsidRPr="00E028EA">
        <w:t>Expected ordinal deviation, estimating the potential magnitude of prediction error considering class ordering;</w:t>
      </w:r>
    </w:p>
    <w:p w:rsidR="004A193C" w:rsidRPr="00E028EA" w:rsidRDefault="00000000" w:rsidP="00E028EA">
      <w:pPr>
        <w:pStyle w:val="PargrafodaLista"/>
        <w:numPr>
          <w:ilvl w:val="0"/>
          <w:numId w:val="11"/>
        </w:numPr>
        <w:spacing w:after="0"/>
        <w:jc w:val="both"/>
      </w:pPr>
      <w:r w:rsidRPr="00E028EA">
        <w:t>Qualitative confidence classification (high, moderate, or low), derived from predefined statistical thresholds.</w:t>
      </w:r>
    </w:p>
    <w:p w:rsidR="00E028EA" w:rsidRDefault="00E028EA" w:rsidP="00E028EA">
      <w:pPr>
        <w:spacing w:after="0"/>
        <w:jc w:val="both"/>
      </w:pPr>
    </w:p>
    <w:p w:rsidR="004A193C" w:rsidRPr="00E028EA" w:rsidRDefault="00000000" w:rsidP="00E028EA">
      <w:pPr>
        <w:spacing w:after="0"/>
        <w:jc w:val="both"/>
      </w:pPr>
      <w:r w:rsidRPr="00E028EA">
        <w:t>These indicators allow users to assess not only predicted values but also the associated level of confidence, making Stage 3 a central component for practical deployment of FertiCO₂-AI in engineering, computational screening, and experimental decision support.</w:t>
      </w:r>
    </w:p>
    <w:p w:rsidR="004A193C" w:rsidRPr="00E028EA" w:rsidRDefault="004A193C" w:rsidP="00E028EA">
      <w:pPr>
        <w:spacing w:after="0"/>
        <w:jc w:val="both"/>
      </w:pPr>
    </w:p>
    <w:p w:rsidR="004A193C" w:rsidRPr="00E028EA" w:rsidRDefault="00000000" w:rsidP="00E028EA">
      <w:pPr>
        <w:spacing w:after="0"/>
        <w:jc w:val="both"/>
        <w:rPr>
          <w:b/>
          <w:bCs/>
        </w:rPr>
      </w:pPr>
      <w:bookmarkStart w:id="16" w:name="reproducibility-and-openness"/>
      <w:bookmarkEnd w:id="12"/>
      <w:bookmarkEnd w:id="15"/>
      <w:r w:rsidRPr="00E028EA">
        <w:rPr>
          <w:b/>
          <w:bCs/>
        </w:rPr>
        <w:t>6. Reproducibility and Openness</w:t>
      </w:r>
    </w:p>
    <w:p w:rsidR="00E028EA" w:rsidRDefault="00E028EA" w:rsidP="00E028EA">
      <w:pPr>
        <w:spacing w:after="0"/>
        <w:jc w:val="both"/>
      </w:pPr>
    </w:p>
    <w:p w:rsidR="004A193C" w:rsidRPr="00E028EA" w:rsidRDefault="00000000" w:rsidP="00E028EA">
      <w:pPr>
        <w:spacing w:after="0"/>
        <w:jc w:val="both"/>
      </w:pPr>
      <w:proofErr w:type="spellStart"/>
      <w:r w:rsidRPr="00E028EA">
        <w:t>FertiCO</w:t>
      </w:r>
      <w:proofErr w:type="spellEnd"/>
      <w:r w:rsidRPr="00E028EA">
        <w:t>₂-AI was designed from its inception to ensure full computational reproducibility and methodological openness at all pipeline levels. Each step—from data generation to final inference—is implemented in a deterministic, documented, and independently auditable manner. This guarantees that results do not depend on proprietary configurations, implicit decisions, or undocumented procedures.</w:t>
      </w:r>
    </w:p>
    <w:p w:rsidR="00E028EA" w:rsidRDefault="00E028EA" w:rsidP="00E028EA">
      <w:pPr>
        <w:spacing w:after="0"/>
        <w:jc w:val="both"/>
      </w:pPr>
    </w:p>
    <w:p w:rsidR="004A193C" w:rsidRPr="00E028EA" w:rsidRDefault="00000000" w:rsidP="00E028EA">
      <w:pPr>
        <w:spacing w:after="0"/>
        <w:jc w:val="both"/>
      </w:pPr>
      <w:r w:rsidRPr="00E028EA">
        <w:t>The pipeline includes complete, versioned scripts for: (i) preprocessing and normalization of physicochemical descriptors, (ii) unsupervised system classification (Stage 1), (iii) supervised neural network training and cross-validation (Stage 2), and (iv) physicochemical interpretation, uncertainty estimation, and reliability index calculation (Stage 3). Scripts are modular, with clearly defined inputs and outputs, allowing independent execution of each stage or integration into large-scale automated workflows.</w:t>
      </w:r>
    </w:p>
    <w:p w:rsidR="00E028EA" w:rsidRDefault="00E028EA" w:rsidP="00E028EA">
      <w:pPr>
        <w:spacing w:after="0"/>
        <w:jc w:val="both"/>
      </w:pPr>
    </w:p>
    <w:p w:rsidR="004A193C" w:rsidRPr="00E028EA" w:rsidRDefault="00000000" w:rsidP="00E028EA">
      <w:pPr>
        <w:spacing w:after="0"/>
        <w:jc w:val="both"/>
      </w:pPr>
      <w:r w:rsidRPr="00E028EA">
        <w:t>Data reproducibility is ensured by providing base files from molecular dynamics simulations performed with GROMACS, from which all descriptors used by the model can be fully regenerated. This includes topology files, force-field parameters, trajectories, and initial configurations, enabling any researcher to repeat simulations, recalculate structural, energetic, and dynamic properties, and reconstruct the training dataset. In addition, the pipeline explicitly saves trained models, normalization scalers, classification parameters, and physical class mappings, ensuring consistency between training, validation, and future inference.</w:t>
      </w:r>
    </w:p>
    <w:p w:rsidR="00E028EA" w:rsidRDefault="00E028EA" w:rsidP="00E028EA">
      <w:pPr>
        <w:spacing w:after="0"/>
        <w:jc w:val="both"/>
      </w:pPr>
    </w:p>
    <w:p w:rsidR="004A193C" w:rsidRPr="00E028EA" w:rsidRDefault="00000000" w:rsidP="00E028EA">
      <w:pPr>
        <w:spacing w:after="0"/>
        <w:jc w:val="both"/>
      </w:pPr>
      <w:r w:rsidRPr="00E028EA">
        <w:t>Finally, all technical documentation is embedded directly within the source code through comments, standardized docstrings, and explanatory files describing methodological choices, hyperparameters, and evaluation criteria. This transparent and modular organization allows the model to be inspected, replicated, adapted, or extended by any researcher, in full compliance with the principles of open science, responsible AI, methodological transparency, and technological sustainability.</w:t>
      </w:r>
      <w:bookmarkEnd w:id="0"/>
      <w:bookmarkEnd w:id="16"/>
    </w:p>
    <w:sectPr w:rsidR="004A193C" w:rsidRPr="00E028EA" w:rsidSect="00E028EA">
      <w:footerReference w:type="even" r:id="rId7"/>
      <w:footerReference w:type="default" r:id="rId8"/>
      <w:footnotePr>
        <w:numRestart w:val="eachSect"/>
      </w:footnotePr>
      <w:pgSz w:w="12240" w:h="15840"/>
      <w:pgMar w:top="1134" w:right="1418"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0D45" w:rsidRDefault="001E0D45" w:rsidP="00E028EA">
      <w:pPr>
        <w:spacing w:after="0"/>
      </w:pPr>
      <w:r>
        <w:separator/>
      </w:r>
    </w:p>
  </w:endnote>
  <w:endnote w:type="continuationSeparator" w:id="0">
    <w:p w:rsidR="001E0D45" w:rsidRDefault="001E0D45" w:rsidP="00E028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99155266"/>
      <w:docPartObj>
        <w:docPartGallery w:val="Page Numbers (Bottom of Page)"/>
        <w:docPartUnique/>
      </w:docPartObj>
    </w:sdtPr>
    <w:sdtContent>
      <w:p w:rsidR="00E028EA" w:rsidRDefault="00E028EA" w:rsidP="00EB246A">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E028EA" w:rsidRDefault="00E028EA" w:rsidP="00E028E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08618035"/>
      <w:docPartObj>
        <w:docPartGallery w:val="Page Numbers (Bottom of Page)"/>
        <w:docPartUnique/>
      </w:docPartObj>
    </w:sdtPr>
    <w:sdtContent>
      <w:p w:rsidR="00E028EA" w:rsidRDefault="00E028EA" w:rsidP="00EB246A">
        <w:pPr>
          <w:pStyle w:val="Rodap"/>
          <w:framePr w:wrap="none" w:vAnchor="text" w:hAnchor="margin" w:xAlign="right" w:y="1"/>
          <w:rPr>
            <w:rStyle w:val="Nmerodepgina"/>
          </w:rPr>
        </w:pPr>
        <w:r>
          <w:rPr>
            <w:rStyle w:val="Nmerodepgina"/>
          </w:rPr>
          <w:t>FertCO</w:t>
        </w:r>
        <w:r w:rsidRPr="00E028EA">
          <w:rPr>
            <w:rStyle w:val="Nmerodepgina"/>
            <w:vertAlign w:val="subscript"/>
          </w:rPr>
          <w:t>2</w:t>
        </w:r>
        <w:r>
          <w:rPr>
            <w:rStyle w:val="Nmerodepgina"/>
          </w:rPr>
          <w:t xml:space="preserve">-AI: page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E028EA" w:rsidRDefault="00E028EA" w:rsidP="00E028E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0D45" w:rsidRDefault="001E0D45" w:rsidP="00E028EA">
      <w:pPr>
        <w:spacing w:after="0"/>
      </w:pPr>
      <w:r>
        <w:separator/>
      </w:r>
    </w:p>
  </w:footnote>
  <w:footnote w:type="continuationSeparator" w:id="0">
    <w:p w:rsidR="001E0D45" w:rsidRDefault="001E0D45" w:rsidP="00E028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8F802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CE23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76A4535"/>
    <w:multiLevelType w:val="hybridMultilevel"/>
    <w:tmpl w:val="69A44D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95A1E09"/>
    <w:multiLevelType w:val="hybridMultilevel"/>
    <w:tmpl w:val="F63641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A4230F"/>
    <w:multiLevelType w:val="hybridMultilevel"/>
    <w:tmpl w:val="72AA4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FD5A70"/>
    <w:multiLevelType w:val="hybridMultilevel"/>
    <w:tmpl w:val="90F0D6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5616F0"/>
    <w:multiLevelType w:val="hybridMultilevel"/>
    <w:tmpl w:val="39D63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2435714">
    <w:abstractNumId w:val="0"/>
  </w:num>
  <w:num w:numId="2" w16cid:durableId="996883269">
    <w:abstractNumId w:val="1"/>
  </w:num>
  <w:num w:numId="3" w16cid:durableId="1321882750">
    <w:abstractNumId w:val="1"/>
  </w:num>
  <w:num w:numId="4" w16cid:durableId="2001349632">
    <w:abstractNumId w:val="1"/>
  </w:num>
  <w:num w:numId="5" w16cid:durableId="1073353258">
    <w:abstractNumId w:val="1"/>
  </w:num>
  <w:num w:numId="6" w16cid:durableId="1858300764">
    <w:abstractNumId w:val="1"/>
  </w:num>
  <w:num w:numId="7" w16cid:durableId="800659468">
    <w:abstractNumId w:val="5"/>
  </w:num>
  <w:num w:numId="8" w16cid:durableId="1896505087">
    <w:abstractNumId w:val="2"/>
  </w:num>
  <w:num w:numId="9" w16cid:durableId="971978976">
    <w:abstractNumId w:val="4"/>
  </w:num>
  <w:num w:numId="10" w16cid:durableId="62918472">
    <w:abstractNumId w:val="6"/>
  </w:num>
  <w:num w:numId="11" w16cid:durableId="1524634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193C"/>
    <w:rsid w:val="001E0D45"/>
    <w:rsid w:val="004A193C"/>
    <w:rsid w:val="00E02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7075"/>
  <w15:docId w15:val="{D31642D3-D9EF-DF43-A345-E9835B08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grafodaLista">
    <w:name w:val="List Paragraph"/>
    <w:basedOn w:val="Normal"/>
    <w:rsid w:val="00E028EA"/>
    <w:pPr>
      <w:ind w:left="720"/>
      <w:contextualSpacing/>
    </w:pPr>
  </w:style>
  <w:style w:type="paragraph" w:styleId="Cabealho">
    <w:name w:val="header"/>
    <w:basedOn w:val="Normal"/>
    <w:link w:val="CabealhoChar"/>
    <w:rsid w:val="00E028EA"/>
    <w:pPr>
      <w:tabs>
        <w:tab w:val="center" w:pos="4252"/>
        <w:tab w:val="right" w:pos="8504"/>
      </w:tabs>
      <w:spacing w:after="0"/>
    </w:pPr>
  </w:style>
  <w:style w:type="character" w:customStyle="1" w:styleId="CabealhoChar">
    <w:name w:val="Cabeçalho Char"/>
    <w:basedOn w:val="Fontepargpadro"/>
    <w:link w:val="Cabealho"/>
    <w:rsid w:val="00E028EA"/>
  </w:style>
  <w:style w:type="paragraph" w:styleId="Rodap">
    <w:name w:val="footer"/>
    <w:basedOn w:val="Normal"/>
    <w:link w:val="RodapChar"/>
    <w:rsid w:val="00E028EA"/>
    <w:pPr>
      <w:tabs>
        <w:tab w:val="center" w:pos="4252"/>
        <w:tab w:val="right" w:pos="8504"/>
      </w:tabs>
      <w:spacing w:after="0"/>
    </w:pPr>
  </w:style>
  <w:style w:type="character" w:customStyle="1" w:styleId="RodapChar">
    <w:name w:val="Rodapé Char"/>
    <w:basedOn w:val="Fontepargpadro"/>
    <w:link w:val="Rodap"/>
    <w:rsid w:val="00E028EA"/>
  </w:style>
  <w:style w:type="character" w:styleId="Nmerodepgina">
    <w:name w:val="page number"/>
    <w:basedOn w:val="Fontepargpadro"/>
    <w:rsid w:val="00E0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2832</Words>
  <Characters>15295</Characters>
  <Application>Microsoft Office Word</Application>
  <DocSecurity>0</DocSecurity>
  <Lines>127</Lines>
  <Paragraphs>36</Paragraphs>
  <ScaleCrop>false</ScaleCrop>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Guilherme</cp:lastModifiedBy>
  <cp:revision>2</cp:revision>
  <dcterms:created xsi:type="dcterms:W3CDTF">2025-12-26T00:30:00Z</dcterms:created>
  <dcterms:modified xsi:type="dcterms:W3CDTF">2025-12-26T00:37:00Z</dcterms:modified>
</cp:coreProperties>
</file>