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2C53" w:rsidRPr="00E52C53" w:rsidRDefault="00E52C53" w:rsidP="00E52C53">
      <w:pPr>
        <w:pStyle w:val="Ttulo1"/>
        <w:jc w:val="center"/>
        <w:rPr>
          <w:color w:val="FF0000"/>
        </w:rPr>
      </w:pPr>
      <w:r w:rsidRPr="00E52C53">
        <w:rPr>
          <w:color w:val="FF0000"/>
        </w:rPr>
        <w:t>COMPTE-RENDU HEBDOMADAIRE – SEMAINE 2</w:t>
      </w:r>
    </w:p>
    <w:p w:rsidR="00E52C53" w:rsidRPr="003A0FAD" w:rsidRDefault="00E52C53" w:rsidP="00E52C53">
      <w:pPr>
        <w:pStyle w:val="Ttulo2"/>
      </w:pPr>
      <w:r w:rsidRPr="00E52C53">
        <w:rPr>
          <w:color w:val="C00000"/>
        </w:rPr>
        <w:t>1. Avancement général du projet</w:t>
      </w:r>
    </w:p>
    <w:p w:rsidR="00E52C53" w:rsidRPr="003A0FAD" w:rsidRDefault="00E52C53" w:rsidP="00E52C53">
      <w:r w:rsidRPr="003A0FAD">
        <w:t>Au cours de cette deuxième semaine, notre groupe a significativement élargi la base de données de notre projet.</w:t>
      </w:r>
    </w:p>
    <w:p w:rsidR="00E52C53" w:rsidRDefault="00E52C53" w:rsidP="00E52C53">
      <w:pPr>
        <w:pStyle w:val="Listaconvietas"/>
      </w:pPr>
      <w:r>
        <w:t>Initialement centré sur :</w:t>
      </w:r>
    </w:p>
    <w:p w:rsidR="00E52C53" w:rsidRDefault="00E52C53" w:rsidP="00E52C53">
      <w:pPr>
        <w:pStyle w:val="Listaconvietas2"/>
      </w:pPr>
      <w:r>
        <w:t>S&amp;P500</w:t>
      </w:r>
    </w:p>
    <w:p w:rsidR="00E52C53" w:rsidRDefault="00E52C53" w:rsidP="00E52C53">
      <w:pPr>
        <w:pStyle w:val="Listaconvietas2"/>
      </w:pPr>
      <w:r>
        <w:t>VIX</w:t>
      </w:r>
    </w:p>
    <w:p w:rsidR="00E52C53" w:rsidRPr="003A0FAD" w:rsidRDefault="00E52C53" w:rsidP="00E52C53">
      <w:r w:rsidRPr="003A0FAD">
        <w:t>Nous avons décidé d’enrichir notre modèle en intégrant davantage d’indicateurs macroéconomiques et comportementaux afin d’améliorer la capacité de prédiction de nos futurs modèles d’apprentissage automatique.</w:t>
      </w:r>
    </w:p>
    <w:p w:rsidR="00E52C53" w:rsidRPr="003A0FAD" w:rsidRDefault="00E52C53" w:rsidP="00E52C53">
      <w:pPr>
        <w:pStyle w:val="Listaconvietas"/>
        <w:rPr>
          <w:lang w:val="fr-FR"/>
        </w:rPr>
      </w:pPr>
      <w:r w:rsidRPr="003A0FAD">
        <w:rPr>
          <w:lang w:val="fr-FR"/>
        </w:rPr>
        <w:t>Les nouveaux indicateurs intégrés sont :</w:t>
      </w:r>
    </w:p>
    <w:p w:rsidR="00E52C53" w:rsidRDefault="00E52C53" w:rsidP="00E52C53">
      <w:pPr>
        <w:pStyle w:val="Listaconvietas2"/>
      </w:pPr>
      <w:r>
        <w:t>Bitcoin</w:t>
      </w:r>
    </w:p>
    <w:p w:rsidR="00E52C53" w:rsidRDefault="00E52C53" w:rsidP="00E52C53">
      <w:pPr>
        <w:pStyle w:val="Listaconvietas2"/>
      </w:pPr>
      <w:r>
        <w:t>Big Mac Index</w:t>
      </w:r>
    </w:p>
    <w:p w:rsidR="00E52C53" w:rsidRDefault="00E52C53" w:rsidP="00E52C53">
      <w:pPr>
        <w:pStyle w:val="Listaconvietas2"/>
      </w:pPr>
      <w:r>
        <w:t>Inflation aux États-Unis</w:t>
      </w:r>
    </w:p>
    <w:p w:rsidR="00E52C53" w:rsidRPr="003A0FAD" w:rsidRDefault="00E52C53" w:rsidP="00E52C53">
      <w:pPr>
        <w:pStyle w:val="Listaconvietas2"/>
        <w:rPr>
          <w:lang w:val="fr-FR"/>
        </w:rPr>
      </w:pPr>
      <w:r w:rsidRPr="003A0FAD">
        <w:rPr>
          <w:lang w:val="fr-FR"/>
        </w:rPr>
        <w:t>Données Twitter (tweets économiques positifs/négatifs</w:t>
      </w:r>
      <w:r>
        <w:rPr>
          <w:lang w:val="fr-FR"/>
        </w:rPr>
        <w:t xml:space="preserve"> integres a future</w:t>
      </w:r>
      <w:r w:rsidRPr="003A0FAD">
        <w:rPr>
          <w:lang w:val="fr-FR"/>
        </w:rPr>
        <w:t xml:space="preserve">) </w:t>
      </w:r>
    </w:p>
    <w:p w:rsidR="00E52C53" w:rsidRPr="003A0FAD" w:rsidRDefault="00E52C53" w:rsidP="00E52C53">
      <w:r w:rsidRPr="003A0FAD">
        <w:t>Cette évolution permet de donner une dimension plus ambitieuse au projet et de favoriser la collaboration entre les membres du groupe.</w:t>
      </w:r>
    </w:p>
    <w:p w:rsidR="00037887" w:rsidRDefault="00037887" w:rsidP="00037887"/>
    <w:p w:rsidR="00037887" w:rsidRDefault="00037887" w:rsidP="00037887"/>
    <w:p w:rsidR="00037887" w:rsidRDefault="00037887" w:rsidP="00037887"/>
    <w:p w:rsidR="00037887" w:rsidRDefault="00037887" w:rsidP="00037887"/>
    <w:p w:rsidR="00037887" w:rsidRDefault="00037887" w:rsidP="00037887"/>
    <w:p w:rsidR="00037887" w:rsidRDefault="00037887" w:rsidP="00037887"/>
    <w:p w:rsidR="00037887" w:rsidRDefault="00037887" w:rsidP="00037887"/>
    <w:p w:rsidR="00037887" w:rsidRDefault="00037887" w:rsidP="00037887"/>
    <w:p w:rsidR="00037887" w:rsidRDefault="00037887" w:rsidP="00037887"/>
    <w:p w:rsidR="00037887" w:rsidRDefault="00037887" w:rsidP="00037887"/>
    <w:p w:rsidR="00037887" w:rsidRDefault="00037887" w:rsidP="00037887"/>
    <w:p w:rsidR="00037887" w:rsidRDefault="00037887" w:rsidP="00037887"/>
    <w:p w:rsidR="00037887" w:rsidRDefault="00037887" w:rsidP="00037887"/>
    <w:p w:rsidR="00E52C53" w:rsidRDefault="00E52C53" w:rsidP="00037887"/>
    <w:p w:rsidR="00E52C53" w:rsidRPr="00037887" w:rsidRDefault="00E52C53" w:rsidP="00037887"/>
    <w:p w:rsidR="00E52C53" w:rsidRPr="00E52C53" w:rsidRDefault="00E52C53" w:rsidP="00E52C53">
      <w:pPr>
        <w:pStyle w:val="Ttulo2"/>
        <w:rPr>
          <w:color w:val="C00000"/>
        </w:rPr>
      </w:pPr>
      <w:r w:rsidRPr="00E52C53">
        <w:rPr>
          <w:color w:val="C00000"/>
        </w:rPr>
        <w:lastRenderedPageBreak/>
        <w:t>2. Base de données</w:t>
      </w:r>
    </w:p>
    <w:p w:rsidR="00E52C53" w:rsidRPr="00E52C53" w:rsidRDefault="00E52C53" w:rsidP="00E52C53">
      <w:pPr>
        <w:pStyle w:val="Ttulo3"/>
        <w:rPr>
          <w:color w:val="C00000"/>
        </w:rPr>
      </w:pPr>
      <w:r w:rsidRPr="00E52C53">
        <w:rPr>
          <w:color w:val="C00000"/>
        </w:rPr>
        <w:t>2.1 Évolution du modèle conceptuel</w:t>
      </w:r>
    </w:p>
    <w:p w:rsidR="00212D42" w:rsidRDefault="00212D42" w:rsidP="00FA0487">
      <w:r>
        <w:t>Nous avons conçu :</w:t>
      </w:r>
    </w:p>
    <w:p w:rsidR="00212D42" w:rsidRDefault="00037887" w:rsidP="00FA0487">
      <w:r w:rsidRPr="00037887">
        <w:rPr>
          <w:noProof/>
          <w:lang w:eastAsia="fr-FR"/>
        </w:rPr>
        <w:drawing>
          <wp:inline distT="0" distB="0" distL="0" distR="0" wp14:anchorId="34887E65" wp14:editId="1C698CDE">
            <wp:extent cx="3860800" cy="3051512"/>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64275" cy="3054258"/>
                    </a:xfrm>
                    <a:prstGeom prst="rect">
                      <a:avLst/>
                    </a:prstGeom>
                  </pic:spPr>
                </pic:pic>
              </a:graphicData>
            </a:graphic>
          </wp:inline>
        </w:drawing>
      </w:r>
    </w:p>
    <w:p w:rsidR="00B9209E" w:rsidRPr="00E52C53" w:rsidRDefault="00B9209E" w:rsidP="00B9209E">
      <w:pPr>
        <w:rPr>
          <w:b/>
        </w:rPr>
      </w:pPr>
      <w:r w:rsidRPr="00E52C53">
        <w:rPr>
          <w:b/>
        </w:rPr>
        <w:t>Entité BIGMACINDEX</w:t>
      </w:r>
    </w:p>
    <w:p w:rsidR="00B9209E" w:rsidRDefault="00B9209E" w:rsidP="00B9209E">
      <w:r>
        <w:t>Identifiant : idBM</w:t>
      </w:r>
    </w:p>
    <w:p w:rsidR="00B9209E" w:rsidRDefault="00B9209E" w:rsidP="00B9209E">
      <w:r>
        <w:t>Attributs : observation_date, dollar_price</w:t>
      </w:r>
    </w:p>
    <w:p w:rsidR="00B9209E" w:rsidRDefault="00B9209E" w:rsidP="00B9209E">
      <w:r>
        <w:t>Cette entité stocke le prix du Big Mac en dollars à différentes dates, servant d’indicateur proxy du pouvoir d’achat et des dynamiques macroéconomiques.</w:t>
      </w:r>
    </w:p>
    <w:p w:rsidR="00B9209E" w:rsidRPr="00E52C53" w:rsidRDefault="00B9209E" w:rsidP="00B9209E">
      <w:pPr>
        <w:rPr>
          <w:b/>
          <w:lang w:val="en-US"/>
        </w:rPr>
      </w:pPr>
      <w:r w:rsidRPr="00E52C53">
        <w:rPr>
          <w:b/>
          <w:lang w:val="en-US"/>
        </w:rPr>
        <w:t>Entité BITCOINPERFORMANCE</w:t>
      </w:r>
    </w:p>
    <w:p w:rsidR="00B9209E" w:rsidRPr="00B9209E" w:rsidRDefault="00B9209E" w:rsidP="00B9209E">
      <w:pPr>
        <w:rPr>
          <w:lang w:val="en-US"/>
        </w:rPr>
      </w:pPr>
      <w:r w:rsidRPr="00B9209E">
        <w:rPr>
          <w:lang w:val="en-US"/>
        </w:rPr>
        <w:t>Identifiant : idB</w:t>
      </w:r>
    </w:p>
    <w:p w:rsidR="00B9209E" w:rsidRPr="00B9209E" w:rsidRDefault="00B9209E" w:rsidP="00B9209E">
      <w:pPr>
        <w:rPr>
          <w:lang w:val="en-US"/>
        </w:rPr>
      </w:pPr>
      <w:r w:rsidRPr="00B9209E">
        <w:rPr>
          <w:lang w:val="en-US"/>
        </w:rPr>
        <w:t>Attributs : observation_date, Open, High, Low, Close, Adj_</w:t>
      </w:r>
      <w:r>
        <w:rPr>
          <w:lang w:val="en-US"/>
        </w:rPr>
        <w:t>Close, Volume</w:t>
      </w:r>
    </w:p>
    <w:p w:rsidR="00B9209E" w:rsidRDefault="00B9209E" w:rsidP="00B9209E">
      <w:r>
        <w:t>Cette entité contient les performances journalières du Bitcoin, incluant les prix d’ouverture, de clôture, les extrêmes journaliers ainsi que le volume échangé.</w:t>
      </w:r>
    </w:p>
    <w:p w:rsidR="00B9209E" w:rsidRPr="00E52C53" w:rsidRDefault="00B9209E" w:rsidP="00B9209E">
      <w:pPr>
        <w:rPr>
          <w:b/>
        </w:rPr>
      </w:pPr>
      <w:r w:rsidRPr="00E52C53">
        <w:rPr>
          <w:b/>
        </w:rPr>
        <w:t>Entité INFLATION</w:t>
      </w:r>
    </w:p>
    <w:p w:rsidR="00B9209E" w:rsidRDefault="00B9209E" w:rsidP="00B9209E">
      <w:r>
        <w:t>Identifiant : idI</w:t>
      </w:r>
    </w:p>
    <w:p w:rsidR="00B9209E" w:rsidRDefault="00B9209E" w:rsidP="00B9209E">
      <w:r>
        <w:t>Attributs : observation_date, CPI</w:t>
      </w:r>
    </w:p>
    <w:p w:rsidR="00B9209E" w:rsidRDefault="00B9209E" w:rsidP="00B9209E">
      <w:r>
        <w:t>Cette entité représente l’indice des prix à la consommation (CPI), utilisé comme indicateur mensuel d’inflation aux États-Unis.</w:t>
      </w:r>
    </w:p>
    <w:p w:rsidR="00C81407" w:rsidRDefault="00C81407" w:rsidP="00B9209E"/>
    <w:p w:rsidR="00E52C53" w:rsidRDefault="00E52C53" w:rsidP="00B9209E"/>
    <w:p w:rsidR="00E52C53" w:rsidRDefault="00E52C53" w:rsidP="00B9209E"/>
    <w:p w:rsidR="00C81407" w:rsidRPr="00E52C53" w:rsidRDefault="00C81407" w:rsidP="00C81407">
      <w:pPr>
        <w:rPr>
          <w:b/>
          <w:lang w:val="en-US"/>
        </w:rPr>
      </w:pPr>
      <w:r w:rsidRPr="00E52C53">
        <w:rPr>
          <w:b/>
          <w:lang w:val="en-US"/>
        </w:rPr>
        <w:lastRenderedPageBreak/>
        <w:t>Entité STANDARDANDPOOR</w:t>
      </w:r>
    </w:p>
    <w:p w:rsidR="00C81407" w:rsidRPr="00C81407" w:rsidRDefault="00E52C53" w:rsidP="00C81407">
      <w:pPr>
        <w:rPr>
          <w:lang w:val="en-US"/>
        </w:rPr>
      </w:pPr>
      <w:r w:rsidRPr="00C81407">
        <w:rPr>
          <w:lang w:val="en-US"/>
        </w:rPr>
        <w:t>Identifiant:</w:t>
      </w:r>
      <w:r w:rsidR="00C81407" w:rsidRPr="00C81407">
        <w:rPr>
          <w:lang w:val="en-US"/>
        </w:rPr>
        <w:t xml:space="preserve"> idSP</w:t>
      </w:r>
    </w:p>
    <w:p w:rsidR="00C81407" w:rsidRPr="00C81407" w:rsidRDefault="00E52C53" w:rsidP="00C81407">
      <w:pPr>
        <w:rPr>
          <w:lang w:val="en-US"/>
        </w:rPr>
      </w:pPr>
      <w:r w:rsidRPr="00C81407">
        <w:rPr>
          <w:lang w:val="en-US"/>
        </w:rPr>
        <w:t>Attributs:</w:t>
      </w:r>
      <w:r w:rsidR="00C81407" w:rsidRPr="00C81407">
        <w:rPr>
          <w:lang w:val="en-US"/>
        </w:rPr>
        <w:t xml:space="preserve"> </w:t>
      </w:r>
      <w:r w:rsidRPr="00C81407">
        <w:rPr>
          <w:lang w:val="en-US"/>
        </w:rPr>
        <w:t>observation date</w:t>
      </w:r>
      <w:r w:rsidR="00C81407" w:rsidRPr="00C81407">
        <w:rPr>
          <w:lang w:val="en-US"/>
        </w:rPr>
        <w:t xml:space="preserve">, sp500, dividend, earnings, longInterestRate, realPrice, </w:t>
      </w:r>
      <w:r w:rsidRPr="00C81407">
        <w:rPr>
          <w:lang w:val="en-US"/>
        </w:rPr>
        <w:t>real</w:t>
      </w:r>
      <w:r>
        <w:rPr>
          <w:lang w:val="en-US"/>
        </w:rPr>
        <w:t xml:space="preserve"> Dividend</w:t>
      </w:r>
      <w:r w:rsidR="00C81407">
        <w:rPr>
          <w:lang w:val="en-US"/>
        </w:rPr>
        <w:t xml:space="preserve">, </w:t>
      </w:r>
      <w:r>
        <w:rPr>
          <w:lang w:val="en-US"/>
        </w:rPr>
        <w:t>real Earnings</w:t>
      </w:r>
    </w:p>
    <w:p w:rsidR="00C81407" w:rsidRDefault="00C81407" w:rsidP="00C81407">
      <w:r>
        <w:t>Cette entité regroupe les données détaillées du S&amp;P 500, incluant les valeurs nominales et réelles, ainsi que des indicateurs financiers complémentaires.</w:t>
      </w:r>
    </w:p>
    <w:p w:rsidR="00C81407" w:rsidRPr="00E52C53" w:rsidRDefault="00C81407" w:rsidP="00C81407">
      <w:pPr>
        <w:rPr>
          <w:b/>
        </w:rPr>
      </w:pPr>
      <w:r w:rsidRPr="00E52C53">
        <w:rPr>
          <w:b/>
        </w:rPr>
        <w:t>Entité VIX</w:t>
      </w:r>
    </w:p>
    <w:p w:rsidR="00C81407" w:rsidRDefault="00C81407" w:rsidP="00C81407">
      <w:r>
        <w:t>Identifiant : vixID</w:t>
      </w:r>
    </w:p>
    <w:p w:rsidR="00C81407" w:rsidRDefault="00C81407" w:rsidP="00C81407">
      <w:r>
        <w:t>Attributs : observation_date, VIXCLS</w:t>
      </w:r>
    </w:p>
    <w:p w:rsidR="00C81407" w:rsidRPr="00E52C53" w:rsidRDefault="00C81407" w:rsidP="00C81407">
      <w:r>
        <w:t>Cette entité correspond à l’indice de volatilité du marché (VIX), mesurant le niveau d’incertitude et de risque sur les marchés financiers.</w:t>
      </w:r>
    </w:p>
    <w:p w:rsidR="00C81407" w:rsidRPr="00E52C53" w:rsidRDefault="00C81407" w:rsidP="00C81407">
      <w:pPr>
        <w:rPr>
          <w:b/>
        </w:rPr>
      </w:pPr>
      <w:r w:rsidRPr="00E52C53">
        <w:rPr>
          <w:b/>
        </w:rPr>
        <w:t>Entité TABLEJOINT</w:t>
      </w:r>
    </w:p>
    <w:p w:rsidR="00C81407" w:rsidRDefault="00C81407" w:rsidP="00C81407">
      <w:r>
        <w:t>Identifiant : idTJ</w:t>
      </w:r>
    </w:p>
    <w:p w:rsidR="00C81407" w:rsidRDefault="00C81407" w:rsidP="00C81407">
      <w:r>
        <w:t>Attribut : observation_date</w:t>
      </w:r>
    </w:p>
    <w:p w:rsidR="00212D42" w:rsidRDefault="00C81407" w:rsidP="00FA0487">
      <w:r>
        <w:t>Cette entité joue un rôle central dans le modèle conceptuel. Elle établit les associations entre les différentes entités précédentes via des relations basées sur la date d’observation.</w:t>
      </w:r>
    </w:p>
    <w:p w:rsidR="00E52C53" w:rsidRDefault="00E52C53" w:rsidP="00FA0487"/>
    <w:p w:rsidR="00E52C53" w:rsidRPr="00E52C53" w:rsidRDefault="00E52C53" w:rsidP="00FA0487"/>
    <w:p w:rsidR="00E52C53" w:rsidRPr="00E52C53" w:rsidRDefault="00E52C53" w:rsidP="00E52C53">
      <w:pPr>
        <w:pStyle w:val="Ttulo2"/>
        <w:rPr>
          <w:color w:val="C00000"/>
        </w:rPr>
      </w:pPr>
      <w:r w:rsidRPr="00E52C53">
        <w:rPr>
          <w:color w:val="C00000"/>
        </w:rPr>
        <w:t>3. Collecte et prétraitement des données</w:t>
      </w:r>
    </w:p>
    <w:p w:rsidR="00212D42" w:rsidRDefault="00212D42" w:rsidP="00FA0487">
      <w:r>
        <w:t>Les donnes ont été récupérés depuis :</w:t>
      </w:r>
    </w:p>
    <w:p w:rsidR="00212D42" w:rsidRDefault="00212D42" w:rsidP="00FA0487">
      <w:r>
        <w:t>Kaggle:</w:t>
      </w:r>
    </w:p>
    <w:p w:rsidR="00212D42" w:rsidRDefault="00EB3619" w:rsidP="00C81407">
      <w:pPr>
        <w:pStyle w:val="Prrafodelista"/>
      </w:pPr>
      <w:hyperlink r:id="rId8" w:history="1">
        <w:r w:rsidR="00C81407" w:rsidRPr="00456807">
          <w:rPr>
            <w:rStyle w:val="Hipervnculo"/>
          </w:rPr>
          <w:t>https://www.kaggle.com/datasets/alfredkondoro/u-s-economic-indicators-1974-2024</w:t>
        </w:r>
      </w:hyperlink>
    </w:p>
    <w:p w:rsidR="00C81407" w:rsidRDefault="00EB3619" w:rsidP="00C81407">
      <w:pPr>
        <w:pStyle w:val="Prrafodelista"/>
      </w:pPr>
      <w:hyperlink r:id="rId9" w:history="1">
        <w:r w:rsidR="00C81407" w:rsidRPr="00456807">
          <w:rPr>
            <w:rStyle w:val="Hipervnculo"/>
          </w:rPr>
          <w:t>https://www.kaggle.com/datasets/varpit94/us-inflation-data-updated-till-may-2021</w:t>
        </w:r>
      </w:hyperlink>
    </w:p>
    <w:p w:rsidR="00C81407" w:rsidRDefault="00EB3619" w:rsidP="00C81407">
      <w:pPr>
        <w:pStyle w:val="Prrafodelista"/>
      </w:pPr>
      <w:hyperlink r:id="rId10" w:history="1">
        <w:r w:rsidR="00C81407" w:rsidRPr="00456807">
          <w:rPr>
            <w:rStyle w:val="Hipervnculo"/>
          </w:rPr>
          <w:t>https://www.kaggle.com/datasets/clarenceyeo80/sp500-and-vix-dataset</w:t>
        </w:r>
      </w:hyperlink>
    </w:p>
    <w:p w:rsidR="00C81407" w:rsidRDefault="00EB3619" w:rsidP="00C81407">
      <w:pPr>
        <w:pStyle w:val="Prrafodelista"/>
      </w:pPr>
      <w:hyperlink r:id="rId11" w:history="1">
        <w:r w:rsidR="00C81407" w:rsidRPr="00456807">
          <w:rPr>
            <w:rStyle w:val="Hipervnculo"/>
          </w:rPr>
          <w:t>https://www.kaggle.com/datasets/paultimothymooney/stock-market-data/data</w:t>
        </w:r>
      </w:hyperlink>
    </w:p>
    <w:p w:rsidR="00C81407" w:rsidRDefault="00EB3619" w:rsidP="00C81407">
      <w:pPr>
        <w:pStyle w:val="Prrafodelista"/>
      </w:pPr>
      <w:hyperlink r:id="rId12" w:history="1">
        <w:r w:rsidR="00C81407" w:rsidRPr="00456807">
          <w:rPr>
            <w:rStyle w:val="Hipervnculo"/>
          </w:rPr>
          <w:t>https://www.kaggle.com/datasets/neelgajare/usa-cpi-inflation-from-19132022</w:t>
        </w:r>
      </w:hyperlink>
    </w:p>
    <w:p w:rsidR="00212D42" w:rsidRDefault="00212D42" w:rsidP="00212D42"/>
    <w:p w:rsidR="00212D42" w:rsidRDefault="00212D42" w:rsidP="00212D42">
      <w:r>
        <w:t>Nettoyage des donnes</w:t>
      </w:r>
    </w:p>
    <w:p w:rsidR="00212D42" w:rsidRDefault="00AB2859" w:rsidP="00212D42">
      <w:r>
        <w:t>Nous avons utilisé Python pour vérifier la cohérence entre le dates avant insertion dans les table joint, convertir les dates en format uniforme et supprimer ou prend la moyenne ou la valeur précèdent des données manquantes.</w:t>
      </w:r>
    </w:p>
    <w:p w:rsidR="00AB2859" w:rsidRDefault="00AB2859" w:rsidP="00212D42"/>
    <w:p w:rsidR="00E52C53" w:rsidRDefault="00E52C53" w:rsidP="00212D42"/>
    <w:p w:rsidR="00E52C53" w:rsidRDefault="00E52C53" w:rsidP="00212D42"/>
    <w:p w:rsidR="00E52C53" w:rsidRDefault="00E52C53" w:rsidP="00212D42"/>
    <w:p w:rsidR="00E52C53" w:rsidRPr="00E52C53" w:rsidRDefault="00E52C53" w:rsidP="00E52C53">
      <w:pPr>
        <w:pStyle w:val="Ttulo2"/>
        <w:rPr>
          <w:color w:val="C00000"/>
        </w:rPr>
      </w:pPr>
      <w:bookmarkStart w:id="0" w:name="_GoBack"/>
      <w:bookmarkEnd w:id="0"/>
      <w:r w:rsidRPr="00E52C53">
        <w:rPr>
          <w:color w:val="C00000"/>
        </w:rPr>
        <w:lastRenderedPageBreak/>
        <w:t>4. Organisation et collaboration</w:t>
      </w:r>
    </w:p>
    <w:p w:rsidR="00E52C53" w:rsidRDefault="00E52C53" w:rsidP="00E52C53">
      <w:pPr>
        <w:pStyle w:val="Listaconvietas"/>
      </w:pPr>
      <w:r>
        <w:t>Outils utilisés :</w:t>
      </w:r>
    </w:p>
    <w:p w:rsidR="00E52C53" w:rsidRDefault="00E52C53" w:rsidP="00E52C53">
      <w:pPr>
        <w:pStyle w:val="Listaconvietas2"/>
      </w:pPr>
      <w:r>
        <w:t>GitHub</w:t>
      </w:r>
    </w:p>
    <w:p w:rsidR="00E52C53" w:rsidRDefault="00E52C53" w:rsidP="00E52C53">
      <w:pPr>
        <w:pStyle w:val="Listaconvietas2"/>
      </w:pPr>
      <w:r>
        <w:t>WhatsApp</w:t>
      </w:r>
    </w:p>
    <w:p w:rsidR="00E52C53" w:rsidRDefault="00E52C53" w:rsidP="00E52C53">
      <w:pPr>
        <w:pStyle w:val="Listaconvietas"/>
      </w:pPr>
      <w:r>
        <w:t>Répartition des tâches :</w:t>
      </w:r>
    </w:p>
    <w:p w:rsidR="00E52C53" w:rsidRDefault="00E52C53" w:rsidP="00E52C53">
      <w:pPr>
        <w:pStyle w:val="Listaconvietas2"/>
      </w:pPr>
      <w:r>
        <w:t>Conception du MCD/MOD</w:t>
      </w:r>
    </w:p>
    <w:p w:rsidR="00E52C53" w:rsidRPr="003A0FAD" w:rsidRDefault="00E52C53" w:rsidP="00E52C53">
      <w:pPr>
        <w:pStyle w:val="Listaconvietas2"/>
        <w:rPr>
          <w:lang w:val="fr-FR"/>
        </w:rPr>
      </w:pPr>
      <w:r w:rsidRPr="003A0FAD">
        <w:rPr>
          <w:lang w:val="fr-FR"/>
        </w:rPr>
        <w:t>Recherche et sélection des jeux de données</w:t>
      </w:r>
    </w:p>
    <w:p w:rsidR="00E52C53" w:rsidRPr="003A0FAD" w:rsidRDefault="00E52C53" w:rsidP="00E52C53">
      <w:pPr>
        <w:pStyle w:val="Listaconvietas2"/>
        <w:rPr>
          <w:lang w:val="fr-FR"/>
        </w:rPr>
      </w:pPr>
      <w:r w:rsidRPr="003A0FAD">
        <w:rPr>
          <w:lang w:val="fr-FR"/>
        </w:rPr>
        <w:t>Nettoyage et structuration des datasets (Gabriel Estèvez)</w:t>
      </w:r>
    </w:p>
    <w:p w:rsidR="00E52C53" w:rsidRPr="003A0FAD" w:rsidRDefault="00E52C53" w:rsidP="00E52C53">
      <w:pPr>
        <w:pStyle w:val="Listaconvietas2"/>
        <w:rPr>
          <w:lang w:val="fr-FR"/>
        </w:rPr>
      </w:pPr>
      <w:r w:rsidRPr="003A0FAD">
        <w:rPr>
          <w:lang w:val="fr-FR"/>
        </w:rPr>
        <w:t>Implémentation Python pour l’importation des données</w:t>
      </w:r>
    </w:p>
    <w:p w:rsidR="00E52C53" w:rsidRPr="00E52C53" w:rsidRDefault="00E52C53" w:rsidP="00E52C53">
      <w:pPr>
        <w:pStyle w:val="Ttulo2"/>
        <w:rPr>
          <w:color w:val="C00000"/>
        </w:rPr>
      </w:pPr>
      <w:r w:rsidRPr="00E52C53">
        <w:rPr>
          <w:color w:val="C00000"/>
        </w:rPr>
        <w:t>5. Difficultés rencontrées</w:t>
      </w:r>
    </w:p>
    <w:p w:rsidR="00E52C53" w:rsidRPr="003A0FAD" w:rsidRDefault="00E52C53" w:rsidP="00E52C53">
      <w:pPr>
        <w:pStyle w:val="Listaconvietas"/>
        <w:rPr>
          <w:lang w:val="fr-FR"/>
        </w:rPr>
      </w:pPr>
      <w:r w:rsidRPr="003A0FAD">
        <w:rPr>
          <w:lang w:val="fr-FR"/>
        </w:rPr>
        <w:t>Différences de format de date entre tables (mois, jour, années)</w:t>
      </w:r>
    </w:p>
    <w:p w:rsidR="00E52C53" w:rsidRPr="003A0FAD" w:rsidRDefault="00E52C53" w:rsidP="00E52C53">
      <w:pPr>
        <w:pStyle w:val="Listaconvietas"/>
        <w:rPr>
          <w:lang w:val="fr-FR"/>
        </w:rPr>
      </w:pPr>
      <w:r w:rsidRPr="003A0FAD">
        <w:rPr>
          <w:lang w:val="fr-FR"/>
        </w:rPr>
        <w:t>Gestion des clés étrangères dans la table centrale</w:t>
      </w:r>
    </w:p>
    <w:p w:rsidR="00212D42" w:rsidRDefault="00212D42" w:rsidP="00212D42"/>
    <w:p w:rsidR="00212D42" w:rsidRDefault="00212D42" w:rsidP="00212D42"/>
    <w:p w:rsidR="00FA0487" w:rsidRPr="00FA0487" w:rsidRDefault="00FA0487"/>
    <w:p w:rsidR="00FA0487" w:rsidRPr="00FA0487" w:rsidRDefault="00FA0487"/>
    <w:sectPr w:rsidR="00FA0487" w:rsidRPr="00FA04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3619" w:rsidRDefault="00EB3619" w:rsidP="00FA0487">
      <w:pPr>
        <w:spacing w:after="0" w:line="240" w:lineRule="auto"/>
      </w:pPr>
      <w:r>
        <w:separator/>
      </w:r>
    </w:p>
  </w:endnote>
  <w:endnote w:type="continuationSeparator" w:id="0">
    <w:p w:rsidR="00EB3619" w:rsidRDefault="00EB3619" w:rsidP="00FA0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3619" w:rsidRDefault="00EB3619" w:rsidP="00FA0487">
      <w:pPr>
        <w:spacing w:after="0" w:line="240" w:lineRule="auto"/>
      </w:pPr>
      <w:r>
        <w:separator/>
      </w:r>
    </w:p>
  </w:footnote>
  <w:footnote w:type="continuationSeparator" w:id="0">
    <w:p w:rsidR="00EB3619" w:rsidRDefault="00EB3619" w:rsidP="00FA04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F5126014"/>
    <w:lvl w:ilvl="0">
      <w:start w:val="1"/>
      <w:numFmt w:val="bullet"/>
      <w:pStyle w:val="Listaconvietas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FD0E9886"/>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9A357B"/>
    <w:multiLevelType w:val="hybridMultilevel"/>
    <w:tmpl w:val="EA58F2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125CED"/>
    <w:multiLevelType w:val="hybridMultilevel"/>
    <w:tmpl w:val="E1924C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4528A0"/>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68C3E66"/>
    <w:multiLevelType w:val="hybridMultilevel"/>
    <w:tmpl w:val="3C0875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7EA144A"/>
    <w:multiLevelType w:val="hybridMultilevel"/>
    <w:tmpl w:val="0944D2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4E5AB6"/>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CA6261E"/>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568141C"/>
    <w:multiLevelType w:val="hybridMultilevel"/>
    <w:tmpl w:val="467A0E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8956104"/>
    <w:multiLevelType w:val="hybridMultilevel"/>
    <w:tmpl w:val="27E61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B0449FC"/>
    <w:multiLevelType w:val="hybridMultilevel"/>
    <w:tmpl w:val="6AACBA4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8AA6512"/>
    <w:multiLevelType w:val="hybridMultilevel"/>
    <w:tmpl w:val="50C280C6"/>
    <w:lvl w:ilvl="0" w:tplc="040C0001">
      <w:start w:val="1"/>
      <w:numFmt w:val="bullet"/>
      <w:lvlText w:val=""/>
      <w:lvlJc w:val="left"/>
      <w:pPr>
        <w:ind w:left="771" w:hanging="360"/>
      </w:pPr>
      <w:rPr>
        <w:rFonts w:ascii="Symbol" w:hAnsi="Symbol" w:hint="default"/>
      </w:rPr>
    </w:lvl>
    <w:lvl w:ilvl="1" w:tplc="040C0003" w:tentative="1">
      <w:start w:val="1"/>
      <w:numFmt w:val="bullet"/>
      <w:lvlText w:val="o"/>
      <w:lvlJc w:val="left"/>
      <w:pPr>
        <w:ind w:left="1491" w:hanging="360"/>
      </w:pPr>
      <w:rPr>
        <w:rFonts w:ascii="Courier New" w:hAnsi="Courier New" w:cs="Courier New" w:hint="default"/>
      </w:rPr>
    </w:lvl>
    <w:lvl w:ilvl="2" w:tplc="040C0005" w:tentative="1">
      <w:start w:val="1"/>
      <w:numFmt w:val="bullet"/>
      <w:lvlText w:val=""/>
      <w:lvlJc w:val="left"/>
      <w:pPr>
        <w:ind w:left="2211" w:hanging="360"/>
      </w:pPr>
      <w:rPr>
        <w:rFonts w:ascii="Wingdings" w:hAnsi="Wingdings" w:hint="default"/>
      </w:rPr>
    </w:lvl>
    <w:lvl w:ilvl="3" w:tplc="040C0001" w:tentative="1">
      <w:start w:val="1"/>
      <w:numFmt w:val="bullet"/>
      <w:lvlText w:val=""/>
      <w:lvlJc w:val="left"/>
      <w:pPr>
        <w:ind w:left="2931" w:hanging="360"/>
      </w:pPr>
      <w:rPr>
        <w:rFonts w:ascii="Symbol" w:hAnsi="Symbol" w:hint="default"/>
      </w:rPr>
    </w:lvl>
    <w:lvl w:ilvl="4" w:tplc="040C0003" w:tentative="1">
      <w:start w:val="1"/>
      <w:numFmt w:val="bullet"/>
      <w:lvlText w:val="o"/>
      <w:lvlJc w:val="left"/>
      <w:pPr>
        <w:ind w:left="3651" w:hanging="360"/>
      </w:pPr>
      <w:rPr>
        <w:rFonts w:ascii="Courier New" w:hAnsi="Courier New" w:cs="Courier New" w:hint="default"/>
      </w:rPr>
    </w:lvl>
    <w:lvl w:ilvl="5" w:tplc="040C0005" w:tentative="1">
      <w:start w:val="1"/>
      <w:numFmt w:val="bullet"/>
      <w:lvlText w:val=""/>
      <w:lvlJc w:val="left"/>
      <w:pPr>
        <w:ind w:left="4371" w:hanging="360"/>
      </w:pPr>
      <w:rPr>
        <w:rFonts w:ascii="Wingdings" w:hAnsi="Wingdings" w:hint="default"/>
      </w:rPr>
    </w:lvl>
    <w:lvl w:ilvl="6" w:tplc="040C0001" w:tentative="1">
      <w:start w:val="1"/>
      <w:numFmt w:val="bullet"/>
      <w:lvlText w:val=""/>
      <w:lvlJc w:val="left"/>
      <w:pPr>
        <w:ind w:left="5091" w:hanging="360"/>
      </w:pPr>
      <w:rPr>
        <w:rFonts w:ascii="Symbol" w:hAnsi="Symbol" w:hint="default"/>
      </w:rPr>
    </w:lvl>
    <w:lvl w:ilvl="7" w:tplc="040C0003" w:tentative="1">
      <w:start w:val="1"/>
      <w:numFmt w:val="bullet"/>
      <w:lvlText w:val="o"/>
      <w:lvlJc w:val="left"/>
      <w:pPr>
        <w:ind w:left="5811" w:hanging="360"/>
      </w:pPr>
      <w:rPr>
        <w:rFonts w:ascii="Courier New" w:hAnsi="Courier New" w:cs="Courier New" w:hint="default"/>
      </w:rPr>
    </w:lvl>
    <w:lvl w:ilvl="8" w:tplc="040C0005" w:tentative="1">
      <w:start w:val="1"/>
      <w:numFmt w:val="bullet"/>
      <w:lvlText w:val=""/>
      <w:lvlJc w:val="left"/>
      <w:pPr>
        <w:ind w:left="6531" w:hanging="360"/>
      </w:pPr>
      <w:rPr>
        <w:rFonts w:ascii="Wingdings" w:hAnsi="Wingdings" w:hint="default"/>
      </w:rPr>
    </w:lvl>
  </w:abstractNum>
  <w:abstractNum w:abstractNumId="13" w15:restartNumberingAfterBreak="0">
    <w:nsid w:val="5A745AD1"/>
    <w:multiLevelType w:val="hybridMultilevel"/>
    <w:tmpl w:val="814CA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F760FA3"/>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9A1F91"/>
    <w:multiLevelType w:val="hybridMultilevel"/>
    <w:tmpl w:val="8B467324"/>
    <w:lvl w:ilvl="0" w:tplc="040C0001">
      <w:start w:val="1"/>
      <w:numFmt w:val="bullet"/>
      <w:lvlText w:val=""/>
      <w:lvlJc w:val="left"/>
      <w:pPr>
        <w:ind w:left="771" w:hanging="360"/>
      </w:pPr>
      <w:rPr>
        <w:rFonts w:ascii="Symbol" w:hAnsi="Symbol" w:hint="default"/>
      </w:rPr>
    </w:lvl>
    <w:lvl w:ilvl="1" w:tplc="040C0003" w:tentative="1">
      <w:start w:val="1"/>
      <w:numFmt w:val="bullet"/>
      <w:lvlText w:val="o"/>
      <w:lvlJc w:val="left"/>
      <w:pPr>
        <w:ind w:left="1491" w:hanging="360"/>
      </w:pPr>
      <w:rPr>
        <w:rFonts w:ascii="Courier New" w:hAnsi="Courier New" w:cs="Courier New" w:hint="default"/>
      </w:rPr>
    </w:lvl>
    <w:lvl w:ilvl="2" w:tplc="040C0005" w:tentative="1">
      <w:start w:val="1"/>
      <w:numFmt w:val="bullet"/>
      <w:lvlText w:val=""/>
      <w:lvlJc w:val="left"/>
      <w:pPr>
        <w:ind w:left="2211" w:hanging="360"/>
      </w:pPr>
      <w:rPr>
        <w:rFonts w:ascii="Wingdings" w:hAnsi="Wingdings" w:hint="default"/>
      </w:rPr>
    </w:lvl>
    <w:lvl w:ilvl="3" w:tplc="040C0001" w:tentative="1">
      <w:start w:val="1"/>
      <w:numFmt w:val="bullet"/>
      <w:lvlText w:val=""/>
      <w:lvlJc w:val="left"/>
      <w:pPr>
        <w:ind w:left="2931" w:hanging="360"/>
      </w:pPr>
      <w:rPr>
        <w:rFonts w:ascii="Symbol" w:hAnsi="Symbol" w:hint="default"/>
      </w:rPr>
    </w:lvl>
    <w:lvl w:ilvl="4" w:tplc="040C0003" w:tentative="1">
      <w:start w:val="1"/>
      <w:numFmt w:val="bullet"/>
      <w:lvlText w:val="o"/>
      <w:lvlJc w:val="left"/>
      <w:pPr>
        <w:ind w:left="3651" w:hanging="360"/>
      </w:pPr>
      <w:rPr>
        <w:rFonts w:ascii="Courier New" w:hAnsi="Courier New" w:cs="Courier New" w:hint="default"/>
      </w:rPr>
    </w:lvl>
    <w:lvl w:ilvl="5" w:tplc="040C0005" w:tentative="1">
      <w:start w:val="1"/>
      <w:numFmt w:val="bullet"/>
      <w:lvlText w:val=""/>
      <w:lvlJc w:val="left"/>
      <w:pPr>
        <w:ind w:left="4371" w:hanging="360"/>
      </w:pPr>
      <w:rPr>
        <w:rFonts w:ascii="Wingdings" w:hAnsi="Wingdings" w:hint="default"/>
      </w:rPr>
    </w:lvl>
    <w:lvl w:ilvl="6" w:tplc="040C0001" w:tentative="1">
      <w:start w:val="1"/>
      <w:numFmt w:val="bullet"/>
      <w:lvlText w:val=""/>
      <w:lvlJc w:val="left"/>
      <w:pPr>
        <w:ind w:left="5091" w:hanging="360"/>
      </w:pPr>
      <w:rPr>
        <w:rFonts w:ascii="Symbol" w:hAnsi="Symbol" w:hint="default"/>
      </w:rPr>
    </w:lvl>
    <w:lvl w:ilvl="7" w:tplc="040C0003" w:tentative="1">
      <w:start w:val="1"/>
      <w:numFmt w:val="bullet"/>
      <w:lvlText w:val="o"/>
      <w:lvlJc w:val="left"/>
      <w:pPr>
        <w:ind w:left="5811" w:hanging="360"/>
      </w:pPr>
      <w:rPr>
        <w:rFonts w:ascii="Courier New" w:hAnsi="Courier New" w:cs="Courier New" w:hint="default"/>
      </w:rPr>
    </w:lvl>
    <w:lvl w:ilvl="8" w:tplc="040C0005" w:tentative="1">
      <w:start w:val="1"/>
      <w:numFmt w:val="bullet"/>
      <w:lvlText w:val=""/>
      <w:lvlJc w:val="left"/>
      <w:pPr>
        <w:ind w:left="6531" w:hanging="360"/>
      </w:pPr>
      <w:rPr>
        <w:rFonts w:ascii="Wingdings" w:hAnsi="Wingdings" w:hint="default"/>
      </w:rPr>
    </w:lvl>
  </w:abstractNum>
  <w:num w:numId="1">
    <w:abstractNumId w:val="9"/>
  </w:num>
  <w:num w:numId="2">
    <w:abstractNumId w:val="2"/>
  </w:num>
  <w:num w:numId="3">
    <w:abstractNumId w:val="3"/>
  </w:num>
  <w:num w:numId="4">
    <w:abstractNumId w:val="5"/>
  </w:num>
  <w:num w:numId="5">
    <w:abstractNumId w:val="6"/>
  </w:num>
  <w:num w:numId="6">
    <w:abstractNumId w:val="12"/>
  </w:num>
  <w:num w:numId="7">
    <w:abstractNumId w:val="15"/>
  </w:num>
  <w:num w:numId="8">
    <w:abstractNumId w:val="11"/>
  </w:num>
  <w:num w:numId="9">
    <w:abstractNumId w:val="13"/>
  </w:num>
  <w:num w:numId="10">
    <w:abstractNumId w:val="10"/>
  </w:num>
  <w:num w:numId="11">
    <w:abstractNumId w:val="14"/>
  </w:num>
  <w:num w:numId="12">
    <w:abstractNumId w:val="4"/>
  </w:num>
  <w:num w:numId="13">
    <w:abstractNumId w:val="8"/>
  </w:num>
  <w:num w:numId="14">
    <w:abstractNumId w:val="7"/>
  </w:num>
  <w:num w:numId="15">
    <w:abstractNumId w:val="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0487"/>
    <w:rsid w:val="00037887"/>
    <w:rsid w:val="00151DA7"/>
    <w:rsid w:val="00212D42"/>
    <w:rsid w:val="00334084"/>
    <w:rsid w:val="0065780F"/>
    <w:rsid w:val="00854613"/>
    <w:rsid w:val="00A77C1D"/>
    <w:rsid w:val="00AB2859"/>
    <w:rsid w:val="00B9209E"/>
    <w:rsid w:val="00B93C80"/>
    <w:rsid w:val="00C81407"/>
    <w:rsid w:val="00E52C53"/>
    <w:rsid w:val="00EB3619"/>
    <w:rsid w:val="00FA04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9D9CE"/>
  <w15:chartTrackingRefBased/>
  <w15:docId w15:val="{D3636C44-E5D9-4A02-A59C-47AF977BC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33408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3408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E52C5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A0487"/>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FA0487"/>
  </w:style>
  <w:style w:type="paragraph" w:styleId="Piedepgina">
    <w:name w:val="footer"/>
    <w:basedOn w:val="Normal"/>
    <w:link w:val="PiedepginaCar"/>
    <w:uiPriority w:val="99"/>
    <w:unhideWhenUsed/>
    <w:rsid w:val="00FA0487"/>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FA0487"/>
  </w:style>
  <w:style w:type="paragraph" w:styleId="Prrafodelista">
    <w:name w:val="List Paragraph"/>
    <w:basedOn w:val="Normal"/>
    <w:uiPriority w:val="34"/>
    <w:qFormat/>
    <w:rsid w:val="00FA0487"/>
    <w:pPr>
      <w:ind w:left="720"/>
      <w:contextualSpacing/>
    </w:pPr>
  </w:style>
  <w:style w:type="character" w:customStyle="1" w:styleId="Ttulo1Car">
    <w:name w:val="Título 1 Car"/>
    <w:basedOn w:val="Fuentedeprrafopredeter"/>
    <w:link w:val="Ttulo1"/>
    <w:uiPriority w:val="9"/>
    <w:rsid w:val="00334084"/>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34084"/>
    <w:rPr>
      <w:rFonts w:asciiTheme="majorHAnsi" w:eastAsiaTheme="majorEastAsia" w:hAnsiTheme="majorHAnsi" w:cstheme="majorBidi"/>
      <w:color w:val="2E74B5" w:themeColor="accent1" w:themeShade="BF"/>
      <w:sz w:val="26"/>
      <w:szCs w:val="26"/>
    </w:rPr>
  </w:style>
  <w:style w:type="character" w:styleId="Hipervnculo">
    <w:name w:val="Hyperlink"/>
    <w:basedOn w:val="Fuentedeprrafopredeter"/>
    <w:uiPriority w:val="99"/>
    <w:unhideWhenUsed/>
    <w:rsid w:val="00C81407"/>
    <w:rPr>
      <w:color w:val="0563C1" w:themeColor="hyperlink"/>
      <w:u w:val="single"/>
    </w:rPr>
  </w:style>
  <w:style w:type="paragraph" w:styleId="Listaconvietas">
    <w:name w:val="List Bullet"/>
    <w:basedOn w:val="Normal"/>
    <w:uiPriority w:val="99"/>
    <w:unhideWhenUsed/>
    <w:rsid w:val="00E52C53"/>
    <w:pPr>
      <w:numPr>
        <w:numId w:val="15"/>
      </w:numPr>
      <w:spacing w:after="200" w:line="276" w:lineRule="auto"/>
      <w:contextualSpacing/>
    </w:pPr>
    <w:rPr>
      <w:rFonts w:eastAsiaTheme="minorEastAsia"/>
      <w:lang w:val="en-US"/>
    </w:rPr>
  </w:style>
  <w:style w:type="paragraph" w:styleId="Listaconvietas2">
    <w:name w:val="List Bullet 2"/>
    <w:basedOn w:val="Normal"/>
    <w:uiPriority w:val="99"/>
    <w:unhideWhenUsed/>
    <w:rsid w:val="00E52C53"/>
    <w:pPr>
      <w:numPr>
        <w:numId w:val="16"/>
      </w:numPr>
      <w:spacing w:after="200" w:line="276" w:lineRule="auto"/>
      <w:contextualSpacing/>
    </w:pPr>
    <w:rPr>
      <w:rFonts w:eastAsiaTheme="minorEastAsia"/>
      <w:lang w:val="en-US"/>
    </w:rPr>
  </w:style>
  <w:style w:type="character" w:customStyle="1" w:styleId="Ttulo3Car">
    <w:name w:val="Título 3 Car"/>
    <w:basedOn w:val="Fuentedeprrafopredeter"/>
    <w:link w:val="Ttulo3"/>
    <w:uiPriority w:val="9"/>
    <w:semiHidden/>
    <w:rsid w:val="00E52C5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967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lfredkondoro/u-s-economic-indicators-1974-202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kaggle.com/datasets/neelgajare/usa-cpi-inflation-from-1913202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paultimothymooney/stock-market-data/data" TargetMode="External"/><Relationship Id="rId5" Type="http://schemas.openxmlformats.org/officeDocument/2006/relationships/footnotes" Target="footnotes.xml"/><Relationship Id="rId10" Type="http://schemas.openxmlformats.org/officeDocument/2006/relationships/hyperlink" Target="https://www.kaggle.com/datasets/clarenceyeo80/sp500-and-vix-dataset" TargetMode="External"/><Relationship Id="rId4" Type="http://schemas.openxmlformats.org/officeDocument/2006/relationships/webSettings" Target="webSettings.xml"/><Relationship Id="rId9" Type="http://schemas.openxmlformats.org/officeDocument/2006/relationships/hyperlink" Target="https://www.kaggle.com/datasets/varpit94/us-inflation-data-updated-till-may-2021"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4</Pages>
  <Words>597</Words>
  <Characters>3284</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Gabo</dc:creator>
  <cp:keywords/>
  <dc:description/>
  <cp:lastModifiedBy>Gabo</cp:lastModifiedBy>
  <cp:revision>4</cp:revision>
  <dcterms:created xsi:type="dcterms:W3CDTF">2026-02-11T14:28:00Z</dcterms:created>
  <dcterms:modified xsi:type="dcterms:W3CDTF">2026-02-11T22:35:00Z</dcterms:modified>
</cp:coreProperties>
</file>