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Collaudo CI Rebinding 6 20260825</w:t>
      </w:r>
    </w:p>
    <w:p>
      <w:r>
        <w:t xml:space="preserve">Fixture sintetica E2E per Lab4Int Editorial Studio.</w:t>
      </w:r>
    </w:p>
    <w:p>
      <w:r>
        <w:t xml:space="preserve">Obiettivo: verificare il self-synthesized governed CI rebinding dell'Incremento 2.5.1.</w:t>
      </w:r>
    </w:p>
    <w:p>
      <w:r>
        <w:t xml:space="preserve">Il collaudo deve dimostrare che, dopo un avanzamento sicuro del base SITE, il workflow governato ricostruisce localmente il merge esatto base/head senza dipendere dalla rigenerazione del synthetic PR merge ref.</w:t>
      </w:r>
    </w:p>
    <w:p>
      <w:r>
        <w:t xml:space="preserve">Slug: collaudo-ci-rebinding-6-20260825.</w:t>
      </w:r>
    </w:p>
    <w:p>
      <w:r>
        <w:t xml:space="preserve">Contenuto sintetico privo di valore editoriale o operativo.</w:t>
      </w:r>
    </w:p>
    <w:sectPr>
      <w:pgSz w:w="11906" w:h="16838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Lab4Int Editorial Studio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Collaudo CI Rebinding 6 20260825</dc:title>
  <dc:creator>Giovanni Conio</dc:creator>
  <dc:subject>Lab4Int self-synthesized governed CI rebinding E2E fixture</dc:subject>
</cp:coreProperties>
</file>