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AAF7" w14:textId="602A5CB1" w:rsidR="009442A7" w:rsidRPr="009442A7" w:rsidRDefault="00995D7C" w:rsidP="009442A7">
      <w:r>
        <w:rPr>
          <w:noProof/>
        </w:rPr>
        <mc:AlternateContent>
          <mc:Choice Requires="wps">
            <w:drawing>
              <wp:anchor distT="0" distB="0" distL="114300" distR="114300" simplePos="0" relativeHeight="251661311" behindDoc="0" locked="0" layoutInCell="1" allowOverlap="1" wp14:anchorId="67E4CD2C" wp14:editId="65B71C4A">
                <wp:simplePos x="0" y="0"/>
                <wp:positionH relativeFrom="margin">
                  <wp:posOffset>-806717</wp:posOffset>
                </wp:positionH>
                <wp:positionV relativeFrom="paragraph">
                  <wp:posOffset>-2093328</wp:posOffset>
                </wp:positionV>
                <wp:extent cx="7748336" cy="12474341"/>
                <wp:effectExtent l="0" t="0" r="5080" b="3810"/>
                <wp:wrapNone/>
                <wp:docPr id="932262063" name="Rettangolo 6"/>
                <wp:cNvGraphicFramePr/>
                <a:graphic xmlns:a="http://schemas.openxmlformats.org/drawingml/2006/main">
                  <a:graphicData uri="http://schemas.microsoft.com/office/word/2010/wordprocessingShape">
                    <wps:wsp>
                      <wps:cNvSpPr/>
                      <wps:spPr>
                        <a:xfrm>
                          <a:off x="0" y="0"/>
                          <a:ext cx="7748336" cy="12474341"/>
                        </a:xfrm>
                        <a:prstGeom prst="rect">
                          <a:avLst/>
                        </a:prstGeom>
                        <a:solidFill>
                          <a:schemeClr val="tx1">
                            <a:lumMod val="95000"/>
                            <a:lumOff val="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98112" id="Rettangolo 6" o:spid="_x0000_s1026" style="position:absolute;margin-left:-63.5pt;margin-top:-164.85pt;width:610.1pt;height:982.25pt;z-index:2516613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" fillcolor="#0d0d0d [3069]" stroked="f" strokeweight="1.5pt">
                <w10:wrap anchorx="margin"/>
              </v:rect>
            </w:pict>
          </mc:Fallback>
        </mc:AlternateContent>
      </w:r>
    </w:p>
    <w:p w14:paraId="4A3FE24A" w14:textId="7FB50FC1" w:rsidR="00E21159" w:rsidRPr="00E21159" w:rsidRDefault="00E21159" w:rsidP="00E21159"/>
    <w:p w14:paraId="3D60F318" w14:textId="6BE10004" w:rsidR="002E0E0A" w:rsidRPr="002E0E0A" w:rsidRDefault="00C70F53" w:rsidP="002E0E0A">
      <w:r>
        <w:rPr>
          <w:noProof/>
        </w:rPr>
        <w:drawing>
          <wp:anchor distT="0" distB="0" distL="114300" distR="114300" simplePos="0" relativeHeight="251674624" behindDoc="0" locked="0" layoutInCell="1" allowOverlap="1" wp14:anchorId="1D7D82E0" wp14:editId="41B83355">
            <wp:simplePos x="0" y="0"/>
            <wp:positionH relativeFrom="margin">
              <wp:align>center</wp:align>
            </wp:positionH>
            <wp:positionV relativeFrom="paragraph">
              <wp:posOffset>19050</wp:posOffset>
            </wp:positionV>
            <wp:extent cx="806802" cy="900000"/>
            <wp:effectExtent l="0" t="0" r="0" b="0"/>
            <wp:wrapNone/>
            <wp:docPr id="1512849452" name="Immagin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9452" name="Immagine 5">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6802"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id w:val="-1498113227"/>
        <w:docPartObj>
          <w:docPartGallery w:val="Cover Pages"/>
          <w:docPartUnique/>
        </w:docPartObj>
      </w:sdtPr>
      <w:sdtEndPr/>
      <w:sdtContent>
        <w:p w14:paraId="7696655D" w14:textId="033758CC" w:rsidR="001C57A3" w:rsidRDefault="001C57A3" w:rsidP="007441F2">
          <w:pPr>
            <w:pStyle w:val="Titolo1"/>
            <w:jc w:val="center"/>
          </w:pPr>
        </w:p>
        <w:p w14:paraId="701FE0EF" w14:textId="5FD11576" w:rsidR="000D76FE" w:rsidRDefault="006368F3" w:rsidP="007441F2">
          <w:pPr>
            <w:pStyle w:val="Titolo1"/>
            <w:jc w:val="center"/>
          </w:pPr>
          <w:r>
            <w:rPr>
              <w:noProof/>
            </w:rPr>
            <mc:AlternateContent>
              <mc:Choice Requires="wps">
                <w:drawing>
                  <wp:anchor distT="0" distB="0" distL="114300" distR="114300" simplePos="0" relativeHeight="251662336" behindDoc="0" locked="0" layoutInCell="0" allowOverlap="1" wp14:anchorId="7801D786" wp14:editId="44BA2125">
                    <wp:simplePos x="0" y="0"/>
                    <wp:positionH relativeFrom="page">
                      <wp:posOffset>19878</wp:posOffset>
                    </wp:positionH>
                    <wp:positionV relativeFrom="page">
                      <wp:posOffset>2617304</wp:posOffset>
                    </wp:positionV>
                    <wp:extent cx="7546340" cy="974035"/>
                    <wp:effectExtent l="0" t="0" r="0" b="0"/>
                    <wp:wrapNone/>
                    <wp:docPr id="463" name="Rettango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6340" cy="974035"/>
                            </a:xfrm>
                            <a:prstGeom prst="rect">
                              <a:avLst/>
                            </a:prstGeom>
                            <a:noFill/>
                            <a:ln w="19050">
                              <a:noFill/>
                              <a:miter lim="800000"/>
                              <a:headEnd/>
                              <a:tailEnd/>
                            </a:ln>
                          </wps:spPr>
                          <wps:txbx>
                            <w:txbxContent>
                              <w:p w14:paraId="4C5BBA47" w14:textId="0A3D03FB" w:rsidR="00AC2B95" w:rsidRPr="00324831" w:rsidRDefault="00DD3A84" w:rsidP="00324831">
                                <w:pPr>
                                  <w:pStyle w:val="Nessunaspaziatura"/>
                                  <w:jc w:val="center"/>
                                  <w:rPr>
                                    <w:rFonts w:asciiTheme="majorHAnsi" w:eastAsiaTheme="majorEastAsia" w:hAnsiTheme="majorHAnsi" w:cstheme="majorBidi"/>
                                    <w:color w:val="FFB703"/>
                                    <w:sz w:val="44"/>
                                    <w:szCs w:val="44"/>
                                  </w:rPr>
                                </w:pPr>
                                <w:r w:rsidRPr="00324831">
                                  <w:rPr>
                                    <w:rFonts w:asciiTheme="majorHAnsi" w:eastAsiaTheme="majorEastAsia" w:hAnsiTheme="majorHAnsi" w:cstheme="majorBidi"/>
                                    <w:color w:val="FFB703"/>
                                    <w:kern w:val="2"/>
                                    <w:sz w:val="52"/>
                                    <w:szCs w:val="52"/>
                                    <w:lang w:eastAsia="en-US"/>
                                    <w14:ligatures w14:val="standardContextual"/>
                                  </w:rPr>
                                  <w:t>LA SINDROME DI CASSANDRA NELL’INTELLIGENCE: QUANDO VEDERE NON BASTA</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01D786" id="Rettangolo 16" o:spid="_x0000_s1026" style="position:absolute;left:0;text-align:left;margin-left:1.55pt;margin-top:206.1pt;width:594.2pt;height:76.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" o:allowincell="f" filled="f" stroked="f" strokeweight="1.5pt">
                    <v:textbox inset="14.4pt,,14.4pt">
                      <w:txbxContent>
                        <w:p w14:paraId="4C5BBA47" w14:textId="0A3D03FB" w:rsidR="00AC2B95" w:rsidRPr="00324831" w:rsidRDefault="00DD3A84" w:rsidP="00324831">
                          <w:pPr>
                            <w:pStyle w:val="Nessunaspaziatura"/>
                            <w:jc w:val="center"/>
                            <w:rPr>
                              <w:rFonts w:asciiTheme="majorHAnsi" w:eastAsiaTheme="majorEastAsia" w:hAnsiTheme="majorHAnsi" w:cstheme="majorBidi"/>
                              <w:color w:val="FFB703"/>
                              <w:sz w:val="44"/>
                              <w:szCs w:val="44"/>
                            </w:rPr>
                          </w:pPr>
                          <w:r w:rsidRPr="00324831">
                            <w:rPr>
                              <w:rFonts w:asciiTheme="majorHAnsi" w:eastAsiaTheme="majorEastAsia" w:hAnsiTheme="majorHAnsi" w:cstheme="majorBidi"/>
                              <w:color w:val="FFB703"/>
                              <w:kern w:val="2"/>
                              <w:sz w:val="52"/>
                              <w:szCs w:val="52"/>
                              <w:lang w:eastAsia="en-US"/>
                              <w14:ligatures w14:val="standardContextual"/>
                            </w:rPr>
                            <w:t>LA SINDROME DI CASSANDRA NELL’INTELLIGENCE: QUANDO VEDERE NON BASTA</w:t>
                          </w:r>
                        </w:p>
                      </w:txbxContent>
                    </v:textbox>
                    <w10:wrap anchorx="page" anchory="page"/>
                  </v:rect>
                </w:pict>
              </mc:Fallback>
            </mc:AlternateContent>
          </w:r>
        </w:p>
        <w:p w14:paraId="69CCA705" w14:textId="4BFA4081" w:rsidR="000D76FE" w:rsidRDefault="00AE78CE" w:rsidP="007441F2">
          <w:pPr>
            <w:pStyle w:val="Titolo1"/>
            <w:jc w:val="center"/>
          </w:pPr>
          <w:r>
            <w:rPr>
              <w:noProof/>
            </w:rPr>
            <mc:AlternateContent>
              <mc:Choice Requires="wps">
                <w:drawing>
                  <wp:anchor distT="45720" distB="45720" distL="114300" distR="114300" simplePos="0" relativeHeight="251685888" behindDoc="0" locked="0" layoutInCell="1" allowOverlap="1" wp14:anchorId="1E2BD6E2" wp14:editId="17A76ADA">
                    <wp:simplePos x="0" y="0"/>
                    <wp:positionH relativeFrom="page">
                      <wp:align>left</wp:align>
                    </wp:positionH>
                    <wp:positionV relativeFrom="paragraph">
                      <wp:posOffset>633864</wp:posOffset>
                    </wp:positionV>
                    <wp:extent cx="7584139" cy="1404620"/>
                    <wp:effectExtent l="0" t="0" r="17145" b="22860"/>
                    <wp:wrapSquare wrapText="bothSides"/>
                    <wp:docPr id="31147290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4139" cy="1404620"/>
                            </a:xfrm>
                            <a:prstGeom prst="rect">
                              <a:avLst/>
                            </a:prstGeom>
                            <a:solidFill>
                              <a:srgbClr val="C00000"/>
                            </a:solidFill>
                            <a:ln w="9525">
                              <a:solidFill>
                                <a:srgbClr val="000000"/>
                              </a:solidFill>
                              <a:miter lim="800000"/>
                              <a:headEnd/>
                              <a:tailEnd/>
                            </a:ln>
                          </wps:spPr>
                          <wps:txbx>
                            <w:txbxContent>
                              <w:p w14:paraId="5BC217B3" w14:textId="2C52C2EA" w:rsidR="00290681" w:rsidRPr="00FF6436" w:rsidRDefault="00290681" w:rsidP="00290681">
                                <w:pPr>
                                  <w:pStyle w:val="Titolo2"/>
                                  <w:spacing w:before="240"/>
                                  <w:jc w:val="center"/>
                                  <w:rPr>
                                    <w:b/>
                                    <w:bCs/>
                                    <w:color w:val="FFFFFF" w:themeColor="background1"/>
                                    <w:sz w:val="40"/>
                                    <w:szCs w:val="40"/>
                                  </w:rPr>
                                </w:pPr>
                                <w:r w:rsidRPr="00FF6436">
                                  <w:rPr>
                                    <w:b/>
                                    <w:bCs/>
                                    <w:color w:val="FFFFFF" w:themeColor="background1"/>
                                    <w:sz w:val="40"/>
                                    <w:szCs w:val="40"/>
                                  </w:rPr>
                                  <w:t>Il caso Ceuta e il difficile passaggio dal segnale al warning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2BD6E2" id="_x0000_t202" coordsize="21600,21600" o:spt="202" path="m,l,21600r21600,l21600,xe">
                    <v:stroke joinstyle="miter"/>
                    <v:path gradientshapeok="t" o:connecttype="rect"/>
                  </v:shapetype>
                  <v:shape id="Casella di testo 2" o:spid="_x0000_s1027" type="#_x0000_t202" style="position:absolute;left:0;text-align:left;margin-left:0;margin-top:49.9pt;width:597.2pt;height:110.6pt;z-index:251685888;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" fillcolor="#c00000">
                    <v:textbox style="mso-fit-shape-to-text:t">
                      <w:txbxContent>
                        <w:p w14:paraId="5BC217B3" w14:textId="2C52C2EA" w:rsidR="00290681" w:rsidRPr="00FF6436" w:rsidRDefault="00290681" w:rsidP="00290681">
                          <w:pPr>
                            <w:pStyle w:val="Titolo2"/>
                            <w:spacing w:before="240"/>
                            <w:jc w:val="center"/>
                            <w:rPr>
                              <w:b/>
                              <w:bCs/>
                              <w:color w:val="FFFFFF" w:themeColor="background1"/>
                              <w:sz w:val="40"/>
                              <w:szCs w:val="40"/>
                            </w:rPr>
                          </w:pPr>
                          <w:r w:rsidRPr="00FF6436">
                            <w:rPr>
                              <w:b/>
                              <w:bCs/>
                              <w:color w:val="FFFFFF" w:themeColor="background1"/>
                              <w:sz w:val="40"/>
                              <w:szCs w:val="40"/>
                            </w:rPr>
                            <w:t>Il caso Ceuta e il difficile passaggio dal segnale al warning</w:t>
                          </w:r>
                        </w:p>
                      </w:txbxContent>
                    </v:textbox>
                    <w10:wrap type="square" anchorx="page"/>
                  </v:shape>
                </w:pict>
              </mc:Fallback>
            </mc:AlternateContent>
          </w:r>
          <w:r w:rsidR="00702D69" w:rsidRPr="009442A7">
            <w:rPr>
              <w:noProof/>
            </w:rPr>
            <w:drawing>
              <wp:anchor distT="0" distB="0" distL="114300" distR="114300" simplePos="0" relativeHeight="251681792" behindDoc="0" locked="0" layoutInCell="1" allowOverlap="1" wp14:anchorId="220D4945" wp14:editId="2F767F31">
                <wp:simplePos x="0" y="0"/>
                <wp:positionH relativeFrom="page">
                  <wp:posOffset>0</wp:posOffset>
                </wp:positionH>
                <wp:positionV relativeFrom="paragraph">
                  <wp:posOffset>1308843</wp:posOffset>
                </wp:positionV>
                <wp:extent cx="7595870" cy="5065395"/>
                <wp:effectExtent l="0" t="0" r="5080" b="1905"/>
                <wp:wrapNone/>
                <wp:docPr id="45593809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95870" cy="5065395"/>
                        </a:xfrm>
                        <a:prstGeom prst="rect">
                          <a:avLst/>
                        </a:prstGeom>
                        <a:noFill/>
                        <a:ln>
                          <a:noFill/>
                        </a:ln>
                        <a:effectLst>
                          <a:softEdge rad="635000"/>
                        </a:effectLst>
                      </pic:spPr>
                    </pic:pic>
                  </a:graphicData>
                </a:graphic>
                <wp14:sizeRelH relativeFrom="page">
                  <wp14:pctWidth>0</wp14:pctWidth>
                </wp14:sizeRelH>
                <wp14:sizeRelV relativeFrom="page">
                  <wp14:pctHeight>0</wp14:pctHeight>
                </wp14:sizeRelV>
              </wp:anchor>
            </w:drawing>
          </w:r>
        </w:p>
        <w:p w14:paraId="36424D25" w14:textId="3B57A855" w:rsidR="000D76FE" w:rsidRDefault="000D76FE" w:rsidP="007441F2">
          <w:pPr>
            <w:pStyle w:val="Titolo1"/>
            <w:jc w:val="center"/>
          </w:pPr>
        </w:p>
        <w:p w14:paraId="6B39B0EF" w14:textId="1672244E" w:rsidR="006C5429" w:rsidRPr="006C5429" w:rsidRDefault="006C5429" w:rsidP="001B5F68">
          <w:pPr>
            <w:pStyle w:val="Titolo1"/>
          </w:pPr>
        </w:p>
        <w:p w14:paraId="0514BDC0" w14:textId="21EEEDB7" w:rsidR="001C7EC2" w:rsidRDefault="00292CCC" w:rsidP="007441F2">
          <w:pPr>
            <w:pStyle w:val="Titolo1"/>
            <w:jc w:val="center"/>
            <w:sectPr w:rsidR="001C7EC2" w:rsidSect="00A93BF6">
              <w:headerReference w:type="default" r:id="rId12"/>
              <w:footerReference w:type="default" r:id="rId13"/>
              <w:pgSz w:w="11906" w:h="16838"/>
              <w:pgMar w:top="1417" w:right="1134" w:bottom="1134" w:left="1134" w:header="709" w:footer="708" w:gutter="0"/>
              <w:pgNumType w:start="0"/>
              <w:cols w:space="708"/>
              <w:titlePg/>
              <w:docGrid w:linePitch="360"/>
            </w:sectPr>
          </w:pPr>
          <w:r>
            <w:rPr>
              <w:noProof/>
            </w:rPr>
            <mc:AlternateContent>
              <mc:Choice Requires="wps">
                <w:drawing>
                  <wp:anchor distT="0" distB="0" distL="114300" distR="114300" simplePos="0" relativeHeight="251687936" behindDoc="0" locked="0" layoutInCell="1" allowOverlap="1" wp14:anchorId="3531ADB3" wp14:editId="4CB62C1D">
                    <wp:simplePos x="0" y="0"/>
                    <wp:positionH relativeFrom="page">
                      <wp:align>right</wp:align>
                    </wp:positionH>
                    <wp:positionV relativeFrom="paragraph">
                      <wp:posOffset>3860800</wp:posOffset>
                    </wp:positionV>
                    <wp:extent cx="2618072" cy="838200"/>
                    <wp:effectExtent l="0" t="0" r="0" b="0"/>
                    <wp:wrapNone/>
                    <wp:docPr id="1945482722" name="Rettango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8072" cy="838200"/>
                            </a:xfrm>
                            <a:prstGeom prst="rect">
                              <a:avLst/>
                            </a:prstGeom>
                            <a:noFill/>
                          </wps:spPr>
                          <wps:txbx>
                            <w:txbxContent>
                              <w:sdt>
                                <w:sdtPr>
                                  <w:rPr>
                                    <w:color w:val="FFFFFF" w:themeColor="background1"/>
                                    <w:sz w:val="28"/>
                                    <w:szCs w:val="28"/>
                                  </w:rPr>
                                  <w:alias w:val="Autore"/>
                                  <w:id w:val="1998611276"/>
                                  <w:dataBinding w:prefixMappings="xmlns:ns0='http://schemas.openxmlformats.org/package/2006/metadata/core-properties' xmlns:ns1='http://purl.org/dc/elements/1.1/'" w:xpath="/ns0:coreProperties[1]/ns1:creator[1]" w:storeItemID="{6C3C8BC8-F283-45AE-878A-BAB7291924A1}"/>
                                  <w:text/>
                                </w:sdtPr>
                                <w:sdtContent>
                                  <w:p w14:paraId="44260C32" w14:textId="174BA3B0" w:rsidR="0013668D" w:rsidRPr="00057608" w:rsidRDefault="0013668D" w:rsidP="005450FB">
                                    <w:pPr>
                                      <w:pStyle w:val="Nessunaspaziatura"/>
                                      <w:spacing w:line="360" w:lineRule="auto"/>
                                      <w:rPr>
                                        <w:color w:val="FFFFFF" w:themeColor="background1"/>
                                      </w:rPr>
                                    </w:pPr>
                                    <w:r>
                                      <w:rPr>
                                        <w:color w:val="FFFFFF" w:themeColor="background1"/>
                                        <w:sz w:val="28"/>
                                        <w:szCs w:val="28"/>
                                      </w:rPr>
                                      <w:t>Giovanni Conio</w:t>
                                    </w:r>
                                  </w:p>
                                </w:sdtContent>
                              </w:sdt>
                              <w:sdt>
                                <w:sdtPr>
                                  <w:rPr>
                                    <w:color w:val="FFFFFF" w:themeColor="background1"/>
                                  </w:rPr>
                                  <w:alias w:val="Data"/>
                                  <w:id w:val="-1224902519"/>
                                  <w:dataBinding w:prefixMappings="xmlns:ns0='http://schemas.microsoft.com/office/2006/coverPageProps'" w:xpath="/ns0:CoverPageProperties[1]/ns0:PublishDate[1]" w:storeItemID="{55AF091B-3C7A-41E3-B477-F2FDAA23CFDA}"/>
                                  <w:date w:fullDate="2026-09-10T00:00:00Z">
                                    <w:dateFormat w:val="dd/MM/yyyy"/>
                                    <w:lid w:val="it-IT"/>
                                    <w:storeMappedDataAs w:val="dateTime"/>
                                    <w:calendar w:val="gregorian"/>
                                  </w:date>
                                </w:sdtPr>
                                <w:sdtContent>
                                  <w:p w14:paraId="02AEB80E" w14:textId="47A89139" w:rsidR="0013668D" w:rsidRPr="00446DAF" w:rsidRDefault="0013668D" w:rsidP="005450FB">
                                    <w:pPr>
                                      <w:pStyle w:val="Nessunaspaziatura"/>
                                      <w:spacing w:line="360" w:lineRule="auto"/>
                                      <w:rPr>
                                        <w:rFonts w:eastAsiaTheme="minorHAnsi"/>
                                        <w:color w:val="FFFFFF" w:themeColor="background1"/>
                                        <w:kern w:val="2"/>
                                        <w:lang w:eastAsia="en-US"/>
                                        <w14:ligatures w14:val="standardContextual"/>
                                      </w:rPr>
                                    </w:pPr>
                                    <w:r>
                                      <w:rPr>
                                        <w:color w:val="FFFFFF" w:themeColor="background1"/>
                                      </w:rPr>
                                      <w:t>10/09/2026</w:t>
                                    </w:r>
                                  </w:p>
                                </w:sdtContent>
                              </w:sdt>
                              <w:p w14:paraId="03D7950E" w14:textId="77777777" w:rsidR="0013668D" w:rsidRPr="00057608" w:rsidRDefault="0013668D" w:rsidP="005450FB">
                                <w:pPr>
                                  <w:pStyle w:val="Nessunaspaziatura"/>
                                  <w:spacing w:line="360" w:lineRule="auto"/>
                                  <w:rPr>
                                    <w:color w:val="FFFFFF" w:themeColor="background1"/>
                                  </w:rPr>
                                </w:pPr>
                              </w:p>
                              <w:p w14:paraId="007DF4C3" w14:textId="77777777" w:rsidR="0013668D" w:rsidRPr="00057608" w:rsidRDefault="0013668D" w:rsidP="005450FB">
                                <w:pPr>
                                  <w:pStyle w:val="Nessunaspaziatura"/>
                                  <w:spacing w:line="360" w:lineRule="auto"/>
                                  <w:rPr>
                                    <w:color w:val="FFFFFF" w:themeColor="background1"/>
                                  </w:rPr>
                                </w:pPr>
                              </w:p>
                            </w:txbxContent>
                          </wps:txbx>
                          <wps:bodyPr rot="0" vert="horz" wrap="square" lIns="365760" tIns="182880" rIns="182880" bIns="18288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3531ADB3" id="Rettangolo 9" o:spid="_x0000_s1028" style="position:absolute;left:0;text-align:left;margin-left:154.95pt;margin-top:304pt;width:206.15pt;height:66pt;z-index:2516879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" filled="f" stroked="f">
                    <v:textbox inset="28.8pt,14.4pt,14.4pt,14.4pt">
                      <w:txbxContent>
                        <w:sdt>
                          <w:sdtPr>
                            <w:rPr>
                              <w:color w:val="FFFFFF" w:themeColor="background1"/>
                              <w:sz w:val="28"/>
                              <w:szCs w:val="28"/>
                            </w:rPr>
                            <w:alias w:val="Autore"/>
                            <w:id w:val="1998611276"/>
                            <w:dataBinding w:prefixMappings="xmlns:ns0='http://schemas.openxmlformats.org/package/2006/metadata/core-properties' xmlns:ns1='http://purl.org/dc/elements/1.1/'" w:xpath="/ns0:coreProperties[1]/ns1:creator[1]" w:storeItemID="{6C3C8BC8-F283-45AE-878A-BAB7291924A1}"/>
                            <w:text/>
                          </w:sdtPr>
                          <w:sdtContent>
                            <w:p w14:paraId="44260C32" w14:textId="174BA3B0" w:rsidR="0013668D" w:rsidRPr="00057608" w:rsidRDefault="0013668D" w:rsidP="005450FB">
                              <w:pPr>
                                <w:pStyle w:val="Nessunaspaziatura"/>
                                <w:spacing w:line="360" w:lineRule="auto"/>
                                <w:rPr>
                                  <w:color w:val="FFFFFF" w:themeColor="background1"/>
                                </w:rPr>
                              </w:pPr>
                              <w:r>
                                <w:rPr>
                                  <w:color w:val="FFFFFF" w:themeColor="background1"/>
                                  <w:sz w:val="28"/>
                                  <w:szCs w:val="28"/>
                                </w:rPr>
                                <w:t>Giovanni Conio</w:t>
                              </w:r>
                            </w:p>
                          </w:sdtContent>
                        </w:sdt>
                        <w:sdt>
                          <w:sdtPr>
                            <w:rPr>
                              <w:color w:val="FFFFFF" w:themeColor="background1"/>
                            </w:rPr>
                            <w:alias w:val="Data"/>
                            <w:id w:val="-1224902519"/>
                            <w:dataBinding w:prefixMappings="xmlns:ns0='http://schemas.microsoft.com/office/2006/coverPageProps'" w:xpath="/ns0:CoverPageProperties[1]/ns0:PublishDate[1]" w:storeItemID="{55AF091B-3C7A-41E3-B477-F2FDAA23CFDA}"/>
                            <w:date w:fullDate="2026-09-10T00:00:00Z">
                              <w:dateFormat w:val="dd/MM/yyyy"/>
                              <w:lid w:val="it-IT"/>
                              <w:storeMappedDataAs w:val="dateTime"/>
                              <w:calendar w:val="gregorian"/>
                            </w:date>
                          </w:sdtPr>
                          <w:sdtContent>
                            <w:p w14:paraId="02AEB80E" w14:textId="47A89139" w:rsidR="0013668D" w:rsidRPr="00446DAF" w:rsidRDefault="0013668D" w:rsidP="005450FB">
                              <w:pPr>
                                <w:pStyle w:val="Nessunaspaziatura"/>
                                <w:spacing w:line="360" w:lineRule="auto"/>
                                <w:rPr>
                                  <w:rFonts w:eastAsiaTheme="minorHAnsi"/>
                                  <w:color w:val="FFFFFF" w:themeColor="background1"/>
                                  <w:kern w:val="2"/>
                                  <w:lang w:eastAsia="en-US"/>
                                  <w14:ligatures w14:val="standardContextual"/>
                                </w:rPr>
                              </w:pPr>
                              <w:r>
                                <w:rPr>
                                  <w:color w:val="FFFFFF" w:themeColor="background1"/>
                                </w:rPr>
                                <w:t>10/09/2026</w:t>
                              </w:r>
                            </w:p>
                          </w:sdtContent>
                        </w:sdt>
                        <w:p w14:paraId="03D7950E" w14:textId="77777777" w:rsidR="0013668D" w:rsidRPr="00057608" w:rsidRDefault="0013668D" w:rsidP="005450FB">
                          <w:pPr>
                            <w:pStyle w:val="Nessunaspaziatura"/>
                            <w:spacing w:line="360" w:lineRule="auto"/>
                            <w:rPr>
                              <w:color w:val="FFFFFF" w:themeColor="background1"/>
                            </w:rPr>
                          </w:pPr>
                        </w:p>
                        <w:p w14:paraId="007DF4C3" w14:textId="77777777" w:rsidR="0013668D" w:rsidRPr="00057608" w:rsidRDefault="0013668D" w:rsidP="005450FB">
                          <w:pPr>
                            <w:pStyle w:val="Nessunaspaziatura"/>
                            <w:spacing w:line="360" w:lineRule="auto"/>
                            <w:rPr>
                              <w:color w:val="FFFFFF" w:themeColor="background1"/>
                            </w:rPr>
                          </w:pPr>
                        </w:p>
                      </w:txbxContent>
                    </v:textbox>
                    <w10:wrap anchorx="page"/>
                  </v:rect>
                </w:pict>
              </mc:Fallback>
            </mc:AlternateContent>
          </w:r>
          <w:r w:rsidR="0013668D">
            <w:rPr>
              <w:noProof/>
            </w:rPr>
            <mc:AlternateContent>
              <mc:Choice Requires="wps">
                <w:drawing>
                  <wp:anchor distT="0" distB="0" distL="114300" distR="114300" simplePos="0" relativeHeight="251680768" behindDoc="0" locked="0" layoutInCell="1" allowOverlap="1" wp14:anchorId="6C62669E" wp14:editId="5A2C2C0A">
                    <wp:simplePos x="0" y="0"/>
                    <wp:positionH relativeFrom="margin">
                      <wp:posOffset>1290320</wp:posOffset>
                    </wp:positionH>
                    <wp:positionV relativeFrom="paragraph">
                      <wp:posOffset>3848200</wp:posOffset>
                    </wp:positionV>
                    <wp:extent cx="3829685" cy="0"/>
                    <wp:effectExtent l="0" t="0" r="0" b="0"/>
                    <wp:wrapNone/>
                    <wp:docPr id="1026371346" name="Connettore diritto 5"/>
                    <wp:cNvGraphicFramePr/>
                    <a:graphic xmlns:a="http://schemas.openxmlformats.org/drawingml/2006/main">
                      <a:graphicData uri="http://schemas.microsoft.com/office/word/2010/wordprocessingShape">
                        <wps:wsp>
                          <wps:cNvCnPr/>
                          <wps:spPr>
                            <a:xfrm>
                              <a:off x="0" y="0"/>
                              <a:ext cx="3829685" cy="0"/>
                            </a:xfrm>
                            <a:prstGeom prst="line">
                              <a:avLst/>
                            </a:prstGeom>
                            <a:ln>
                              <a:solidFill>
                                <a:srgbClr val="FFB703"/>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951B401" id="Connettore diritto 5" o:spid="_x0000_s1026" style="position:absolute;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01.6pt,303pt" to="403.1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" strokecolor="#ffb703" strokeweight="1.5pt">
                    <v:stroke joinstyle="miter"/>
                    <w10:wrap anchorx="margin"/>
                  </v:line>
                </w:pict>
              </mc:Fallback>
            </mc:AlternateContent>
          </w:r>
          <w:r w:rsidR="00F7655A">
            <w:rPr>
              <w:noProof/>
            </w:rPr>
            <mc:AlternateContent>
              <mc:Choice Requires="wps">
                <w:drawing>
                  <wp:anchor distT="0" distB="0" distL="114300" distR="114300" simplePos="0" relativeHeight="251683840" behindDoc="0" locked="0" layoutInCell="1" allowOverlap="1" wp14:anchorId="5441BF79" wp14:editId="700D5961">
                    <wp:simplePos x="0" y="0"/>
                    <wp:positionH relativeFrom="column">
                      <wp:posOffset>4693738</wp:posOffset>
                    </wp:positionH>
                    <wp:positionV relativeFrom="paragraph">
                      <wp:posOffset>4942024</wp:posOffset>
                    </wp:positionV>
                    <wp:extent cx="1993355" cy="838200"/>
                    <wp:effectExtent l="0" t="0" r="0" b="0"/>
                    <wp:wrapNone/>
                    <wp:docPr id="158900133" name="Rettango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3355" cy="838200"/>
                            </a:xfrm>
                            <a:prstGeom prst="rect">
                              <a:avLst/>
                            </a:prstGeom>
                            <a:noFill/>
                          </wps:spPr>
                          <wps:txbx>
                            <w:txbxContent>
                              <w:sdt>
                                <w:sdtPr>
                                  <w:rPr>
                                    <w:color w:val="FFFFFF" w:themeColor="background1"/>
                                    <w:sz w:val="28"/>
                                    <w:szCs w:val="28"/>
                                  </w:rPr>
                                  <w:alias w:val="Autore"/>
                                  <w:id w:val="1380359617"/>
                                  <w:dataBinding w:prefixMappings="xmlns:ns0='http://schemas.openxmlformats.org/package/2006/metadata/core-properties' xmlns:ns1='http://purl.org/dc/elements/1.1/'" w:xpath="/ns0:coreProperties[1]/ns1:creator[1]" w:storeItemID="{6C3C8BC8-F283-45AE-878A-BAB7291924A1}"/>
                                  <w:text/>
                                </w:sdtPr>
                                <w:sdtEndPr/>
                                <w:sdtContent>
                                  <w:p w14:paraId="483B0628" w14:textId="2C3CFA83" w:rsidR="00F7655A" w:rsidRPr="00057608" w:rsidRDefault="00F7655A" w:rsidP="00F7655A">
                                    <w:pPr>
                                      <w:pStyle w:val="Nessunaspaziatura"/>
                                      <w:spacing w:line="360" w:lineRule="auto"/>
                                      <w:jc w:val="right"/>
                                      <w:rPr>
                                        <w:color w:val="FFFFFF" w:themeColor="background1"/>
                                      </w:rPr>
                                    </w:pPr>
                                    <w:r>
                                      <w:rPr>
                                        <w:color w:val="FFFFFF" w:themeColor="background1"/>
                                        <w:sz w:val="28"/>
                                        <w:szCs w:val="28"/>
                                      </w:rPr>
                                      <w:t>Giovanni Conio</w:t>
                                    </w:r>
                                  </w:p>
                                </w:sdtContent>
                              </w:sdt>
                              <w:sdt>
                                <w:sdtPr>
                                  <w:rPr>
                                    <w:color w:val="FFFFFF" w:themeColor="background1"/>
                                  </w:rPr>
                                  <w:alias w:val="Data"/>
                                  <w:id w:val="1724480474"/>
                                  <w:dataBinding w:prefixMappings="xmlns:ns0='http://schemas.microsoft.com/office/2006/coverPageProps'" w:xpath="/ns0:CoverPageProperties[1]/ns0:PublishDate[1]" w:storeItemID="{55AF091B-3C7A-41E3-B477-F2FDAA23CFDA}"/>
                                  <w:date w:fullDate="2026-09-10T00:00:00Z">
                                    <w:dateFormat w:val="dd/MM/yyyy"/>
                                    <w:lid w:val="it-IT"/>
                                    <w:storeMappedDataAs w:val="dateTime"/>
                                    <w:calendar w:val="gregorian"/>
                                  </w:date>
                                </w:sdtPr>
                                <w:sdtEndPr/>
                                <w:sdtContent>
                                  <w:p w14:paraId="1B68149C" w14:textId="2126830C" w:rsidR="00F7655A" w:rsidRPr="00446DAF" w:rsidRDefault="00BB5162" w:rsidP="00F7655A">
                                    <w:pPr>
                                      <w:pStyle w:val="Nessunaspaziatura"/>
                                      <w:spacing w:line="360" w:lineRule="auto"/>
                                      <w:jc w:val="right"/>
                                      <w:rPr>
                                        <w:rFonts w:eastAsiaTheme="minorHAnsi"/>
                                        <w:color w:val="FFFFFF" w:themeColor="background1"/>
                                        <w:kern w:val="2"/>
                                        <w:lang w:eastAsia="en-US"/>
                                        <w14:ligatures w14:val="standardContextual"/>
                                      </w:rPr>
                                    </w:pPr>
                                    <w:r>
                                      <w:rPr>
                                        <w:color w:val="FFFFFF" w:themeColor="background1"/>
                                      </w:rPr>
                                      <w:t>10</w:t>
                                    </w:r>
                                    <w:r w:rsidR="00F7655A">
                                      <w:rPr>
                                        <w:color w:val="FFFFFF" w:themeColor="background1"/>
                                      </w:rPr>
                                      <w:t>/0</w:t>
                                    </w:r>
                                    <w:r>
                                      <w:rPr>
                                        <w:color w:val="FFFFFF" w:themeColor="background1"/>
                                      </w:rPr>
                                      <w:t>9</w:t>
                                    </w:r>
                                    <w:r w:rsidR="00F7655A">
                                      <w:rPr>
                                        <w:color w:val="FFFFFF" w:themeColor="background1"/>
                                      </w:rPr>
                                      <w:t>/2026</w:t>
                                    </w:r>
                                  </w:p>
                                </w:sdtContent>
                              </w:sdt>
                              <w:p w14:paraId="02EB639E" w14:textId="77777777" w:rsidR="00F7655A" w:rsidRPr="00057608" w:rsidRDefault="00F7655A" w:rsidP="00F7655A">
                                <w:pPr>
                                  <w:pStyle w:val="Nessunaspaziatura"/>
                                  <w:spacing w:line="360" w:lineRule="auto"/>
                                  <w:rPr>
                                    <w:color w:val="FFFFFF" w:themeColor="background1"/>
                                  </w:rPr>
                                </w:pPr>
                              </w:p>
                              <w:p w14:paraId="1B5947B1" w14:textId="77777777" w:rsidR="00F7655A" w:rsidRPr="00057608" w:rsidRDefault="00F7655A" w:rsidP="00F7655A">
                                <w:pPr>
                                  <w:pStyle w:val="Nessunaspaziatura"/>
                                  <w:spacing w:line="360" w:lineRule="auto"/>
                                  <w:rPr>
                                    <w:color w:val="FFFFFF" w:themeColor="background1"/>
                                  </w:rPr>
                                </w:pPr>
                              </w:p>
                            </w:txbxContent>
                          </wps:txbx>
                          <wps:bodyPr rot="0" vert="horz" wrap="square" lIns="365760" tIns="182880" rIns="182880" bIns="18288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441BF79" id="_x0000_s1029" style="position:absolute;left:0;text-align:left;margin-left:369.6pt;margin-top:389.15pt;width:156.95pt;height:6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" filled="f" stroked="f">
                    <v:textbox inset="28.8pt,14.4pt,14.4pt,14.4pt">
                      <w:txbxContent>
                        <w:sdt>
                          <w:sdtPr>
                            <w:rPr>
                              <w:color w:val="FFFFFF" w:themeColor="background1"/>
                              <w:sz w:val="28"/>
                              <w:szCs w:val="28"/>
                            </w:rPr>
                            <w:alias w:val="Autore"/>
                            <w:id w:val="1380359617"/>
                            <w:dataBinding w:prefixMappings="xmlns:ns0='http://schemas.openxmlformats.org/package/2006/metadata/core-properties' xmlns:ns1='http://purl.org/dc/elements/1.1/'" w:xpath="/ns0:coreProperties[1]/ns1:creator[1]" w:storeItemID="{6C3C8BC8-F283-45AE-878A-BAB7291924A1}"/>
                            <w:text/>
                          </w:sdtPr>
                          <w:sdtEndPr/>
                          <w:sdtContent>
                            <w:p w14:paraId="483B0628" w14:textId="2C3CFA83" w:rsidR="00F7655A" w:rsidRPr="00057608" w:rsidRDefault="00F7655A" w:rsidP="00F7655A">
                              <w:pPr>
                                <w:pStyle w:val="Nessunaspaziatura"/>
                                <w:spacing w:line="360" w:lineRule="auto"/>
                                <w:jc w:val="right"/>
                                <w:rPr>
                                  <w:color w:val="FFFFFF" w:themeColor="background1"/>
                                </w:rPr>
                              </w:pPr>
                              <w:r>
                                <w:rPr>
                                  <w:color w:val="FFFFFF" w:themeColor="background1"/>
                                  <w:sz w:val="28"/>
                                  <w:szCs w:val="28"/>
                                </w:rPr>
                                <w:t>Giovanni Conio</w:t>
                              </w:r>
                            </w:p>
                          </w:sdtContent>
                        </w:sdt>
                        <w:sdt>
                          <w:sdtPr>
                            <w:rPr>
                              <w:color w:val="FFFFFF" w:themeColor="background1"/>
                            </w:rPr>
                            <w:alias w:val="Data"/>
                            <w:id w:val="1724480474"/>
                            <w:dataBinding w:prefixMappings="xmlns:ns0='http://schemas.microsoft.com/office/2006/coverPageProps'" w:xpath="/ns0:CoverPageProperties[1]/ns0:PublishDate[1]" w:storeItemID="{55AF091B-3C7A-41E3-B477-F2FDAA23CFDA}"/>
                            <w:date w:fullDate="2026-09-10T00:00:00Z">
                              <w:dateFormat w:val="dd/MM/yyyy"/>
                              <w:lid w:val="it-IT"/>
                              <w:storeMappedDataAs w:val="dateTime"/>
                              <w:calendar w:val="gregorian"/>
                            </w:date>
                          </w:sdtPr>
                          <w:sdtEndPr/>
                          <w:sdtContent>
                            <w:p w14:paraId="1B68149C" w14:textId="2126830C" w:rsidR="00F7655A" w:rsidRPr="00446DAF" w:rsidRDefault="00BB5162" w:rsidP="00F7655A">
                              <w:pPr>
                                <w:pStyle w:val="Nessunaspaziatura"/>
                                <w:spacing w:line="360" w:lineRule="auto"/>
                                <w:jc w:val="right"/>
                                <w:rPr>
                                  <w:rFonts w:eastAsiaTheme="minorHAnsi"/>
                                  <w:color w:val="FFFFFF" w:themeColor="background1"/>
                                  <w:kern w:val="2"/>
                                  <w:lang w:eastAsia="en-US"/>
                                  <w14:ligatures w14:val="standardContextual"/>
                                </w:rPr>
                              </w:pPr>
                              <w:r>
                                <w:rPr>
                                  <w:color w:val="FFFFFF" w:themeColor="background1"/>
                                </w:rPr>
                                <w:t>10</w:t>
                              </w:r>
                              <w:r w:rsidR="00F7655A">
                                <w:rPr>
                                  <w:color w:val="FFFFFF" w:themeColor="background1"/>
                                </w:rPr>
                                <w:t>/0</w:t>
                              </w:r>
                              <w:r>
                                <w:rPr>
                                  <w:color w:val="FFFFFF" w:themeColor="background1"/>
                                </w:rPr>
                                <w:t>9</w:t>
                              </w:r>
                              <w:r w:rsidR="00F7655A">
                                <w:rPr>
                                  <w:color w:val="FFFFFF" w:themeColor="background1"/>
                                </w:rPr>
                                <w:t>/2026</w:t>
                              </w:r>
                            </w:p>
                          </w:sdtContent>
                        </w:sdt>
                        <w:p w14:paraId="02EB639E" w14:textId="77777777" w:rsidR="00F7655A" w:rsidRPr="00057608" w:rsidRDefault="00F7655A" w:rsidP="00F7655A">
                          <w:pPr>
                            <w:pStyle w:val="Nessunaspaziatura"/>
                            <w:spacing w:line="360" w:lineRule="auto"/>
                            <w:rPr>
                              <w:color w:val="FFFFFF" w:themeColor="background1"/>
                            </w:rPr>
                          </w:pPr>
                        </w:p>
                        <w:p w14:paraId="1B5947B1" w14:textId="77777777" w:rsidR="00F7655A" w:rsidRPr="00057608" w:rsidRDefault="00F7655A" w:rsidP="00F7655A">
                          <w:pPr>
                            <w:pStyle w:val="Nessunaspaziatura"/>
                            <w:spacing w:line="360" w:lineRule="auto"/>
                            <w:rPr>
                              <w:color w:val="FFFFFF" w:themeColor="background1"/>
                            </w:rPr>
                          </w:pPr>
                        </w:p>
                      </w:txbxContent>
                    </v:textbox>
                  </v:rect>
                </w:pict>
              </mc:Fallback>
            </mc:AlternateContent>
          </w:r>
        </w:p>
      </w:sdtContent>
    </w:sdt>
    <w:p w14:paraId="5D5CA3D5" w14:textId="544E41A6" w:rsidR="00410EB2" w:rsidRPr="00410EB2" w:rsidRDefault="00410EB2" w:rsidP="00A30195">
      <w:pPr>
        <w:pStyle w:val="Titolo1"/>
        <w:jc w:val="both"/>
      </w:pPr>
      <w:bookmarkStart w:id="0" w:name="Xf29564b0ea353a5d498e1bf9bb659cc6d46eaef"/>
      <w:r w:rsidRPr="00410EB2">
        <w:lastRenderedPageBreak/>
        <w:t>La sindrome di Cassandra nell’intelligence:</w:t>
      </w:r>
      <w:r w:rsidR="00A30195">
        <w:t xml:space="preserve"> </w:t>
      </w:r>
      <w:r w:rsidRPr="00410EB2">
        <w:t>quando vedere non basta</w:t>
      </w:r>
    </w:p>
    <w:p w14:paraId="4606146B" w14:textId="1337E84C" w:rsidR="00410EB2" w:rsidRPr="00410EB2" w:rsidRDefault="00410EB2" w:rsidP="001562EC">
      <w:pPr>
        <w:pStyle w:val="Titolo2"/>
        <w:spacing w:before="240"/>
        <w:jc w:val="both"/>
      </w:pPr>
      <w:bookmarkStart w:id="1" w:name="X42be1686389fd3f51eb0861c9b22fa7dadc6862"/>
      <w:r w:rsidRPr="00410EB2">
        <w:t>Il caso Ceuta e il difficile passaggio dal segnale al warning</w:t>
      </w:r>
    </w:p>
    <w:p w14:paraId="724A383E" w14:textId="2403F619" w:rsidR="00410EB2" w:rsidRPr="00410EB2" w:rsidRDefault="00410EB2" w:rsidP="004F0518">
      <w:pPr>
        <w:spacing w:before="240"/>
        <w:jc w:val="both"/>
      </w:pPr>
      <w:r w:rsidRPr="00410EB2">
        <w:t>Nella mitologia greca Cassandra possedeva un dono tanto straordinario quanto inutile</w:t>
      </w:r>
      <w:r w:rsidR="00560251">
        <w:t>,</w:t>
      </w:r>
      <w:r w:rsidRPr="00410EB2">
        <w:t xml:space="preserve"> poteva prevedere ciò che sarebbe accaduto ma era condannata a non essere creduta.</w:t>
      </w:r>
    </w:p>
    <w:p w14:paraId="245C8787" w14:textId="20D8C04B" w:rsidR="00410EB2" w:rsidRPr="00410EB2" w:rsidRDefault="00410EB2" w:rsidP="004F0518">
      <w:pPr>
        <w:jc w:val="both"/>
      </w:pPr>
      <w:r w:rsidRPr="00410EB2">
        <w:t xml:space="preserve">La sua storia costituisce una metafora sorprendentemente efficace per descrivere uno dei problemi più persistenti dell’intelligence </w:t>
      </w:r>
      <w:r w:rsidR="002572FD">
        <w:t xml:space="preserve">(anche </w:t>
      </w:r>
      <w:r w:rsidRPr="00410EB2">
        <w:t>contemporanea</w:t>
      </w:r>
      <w:r w:rsidR="002572FD">
        <w:t>)</w:t>
      </w:r>
      <w:r w:rsidRPr="00410EB2">
        <w:t xml:space="preserve">: </w:t>
      </w:r>
      <w:r w:rsidRPr="00410EB2">
        <w:rPr>
          <w:b/>
          <w:bCs/>
        </w:rPr>
        <w:t>non sempre la sorpresa strategica nasce dall’assenza di informazioni. Talvolta le informazioni esistono, i segnali sono stati rilevati e perfino comunicati, ma non riescono a trasformarsi in un warning capace di produrre una decisione.</w:t>
      </w:r>
    </w:p>
    <w:p w14:paraId="0CC81A31" w14:textId="77777777" w:rsidR="00410EB2" w:rsidRPr="00410EB2" w:rsidRDefault="00410EB2" w:rsidP="004F0518">
      <w:pPr>
        <w:jc w:val="both"/>
      </w:pPr>
      <w:r w:rsidRPr="00410EB2">
        <w:t xml:space="preserve">È quella che potremmo definire, con qualche cautela, la </w:t>
      </w:r>
      <w:r w:rsidRPr="00410EB2">
        <w:rPr>
          <w:b/>
          <w:bCs/>
        </w:rPr>
        <w:t>sindrome di Cassandra dell’intelligence</w:t>
      </w:r>
      <w:r w:rsidRPr="00410EB2">
        <w:t>.</w:t>
      </w:r>
    </w:p>
    <w:p w14:paraId="73A17C99" w14:textId="77777777" w:rsidR="00410EB2" w:rsidRPr="00410EB2" w:rsidRDefault="00410EB2" w:rsidP="004F0518">
      <w:pPr>
        <w:jc w:val="both"/>
      </w:pPr>
      <w:r w:rsidRPr="00410EB2">
        <w:t>Il problema non consiste semplicemente nel “sapere” che qualcosa potrebbe accadere. Consiste nel riconoscere, all’interno di un ambiente informativo saturo di rumore, quali segnali meritino di modificare la nostra rappresentazione della situazione e, soprattutto, di determinare un cambiamento nell’azione.</w:t>
      </w:r>
    </w:p>
    <w:p w14:paraId="1535FFA2" w14:textId="77777777" w:rsidR="00410EB2" w:rsidRPr="00410EB2" w:rsidRDefault="00410EB2" w:rsidP="004F0518">
      <w:pPr>
        <w:jc w:val="both"/>
      </w:pPr>
      <w:r w:rsidRPr="00410EB2">
        <w:t xml:space="preserve">Gli avvenimenti verificatisi a </w:t>
      </w:r>
      <w:r w:rsidRPr="00410EB2">
        <w:rPr>
          <w:b/>
          <w:bCs/>
        </w:rPr>
        <w:t>Ceuta il 30 e 31 luglio 2026</w:t>
      </w:r>
      <w:r w:rsidRPr="00410EB2">
        <w:t xml:space="preserve"> offrono, sotto questo profilo, un caso di studio particolarmente interessante.</w:t>
      </w:r>
    </w:p>
    <w:p w14:paraId="3A0D3409" w14:textId="4AC1D07E" w:rsidR="00410EB2" w:rsidRPr="00410EB2" w:rsidRDefault="00410EB2" w:rsidP="004F0518">
      <w:pPr>
        <w:jc w:val="both"/>
      </w:pPr>
      <w:r w:rsidRPr="00410EB2">
        <w:t>Non perché consentano già di stabilire responsabilità definitive — la ricostruzione giudiziaria e istituzionale è ancora in corso — ma perché permettono di osservare quasi in tempo reale uno dei problemi classici degli Intelligence Studies:</w:t>
      </w:r>
      <w:r w:rsidR="004015EF">
        <w:t xml:space="preserve"> </w:t>
      </w:r>
      <w:r w:rsidRPr="00410EB2">
        <w:rPr>
          <w:b/>
          <w:bCs/>
        </w:rPr>
        <w:t>come può verificarsi una sorpresa quando alcuni segnali dell’evento erano già disponibili prima che esso accadesse?</w:t>
      </w:r>
    </w:p>
    <w:bookmarkEnd w:id="1"/>
    <w:p w14:paraId="26D309C8" w14:textId="4644CB35" w:rsidR="00410EB2" w:rsidRPr="00410EB2" w:rsidRDefault="00410EB2" w:rsidP="00F44609">
      <w:pPr>
        <w:pStyle w:val="Titolo2"/>
        <w:spacing w:before="240"/>
        <w:jc w:val="both"/>
      </w:pPr>
      <w:r w:rsidRPr="00410EB2">
        <w:t xml:space="preserve">Cassandra e l’intelligence </w:t>
      </w:r>
      <w:proofErr w:type="spellStart"/>
      <w:r w:rsidRPr="00410EB2">
        <w:t>failure</w:t>
      </w:r>
      <w:proofErr w:type="spellEnd"/>
    </w:p>
    <w:p w14:paraId="092B0A29" w14:textId="5BCF0545" w:rsidR="00410EB2" w:rsidRPr="00410EB2" w:rsidRDefault="00410EB2" w:rsidP="004F0518">
      <w:pPr>
        <w:jc w:val="both"/>
      </w:pPr>
      <w:r w:rsidRPr="00410EB2">
        <w:t>Il riferimento a Cassandra non è soltanto una metafora suggestiva.</w:t>
      </w:r>
      <w:r w:rsidR="00E24DCF">
        <w:t xml:space="preserve"> </w:t>
      </w:r>
    </w:p>
    <w:p w14:paraId="53318BD4" w14:textId="7CBC923F" w:rsidR="00410EB2" w:rsidRPr="00410EB2" w:rsidRDefault="00410EB2" w:rsidP="004F0518">
      <w:pPr>
        <w:jc w:val="both"/>
      </w:pPr>
      <w:r w:rsidRPr="00410EB2">
        <w:t xml:space="preserve">Milo Jones e Philippe Silberzahn hanno utilizzato esplicitamente questa figura in </w:t>
      </w:r>
      <w:proofErr w:type="spellStart"/>
      <w:r w:rsidRPr="00410EB2">
        <w:rPr>
          <w:i/>
          <w:iCs/>
        </w:rPr>
        <w:t>Constructing</w:t>
      </w:r>
      <w:proofErr w:type="spellEnd"/>
      <w:r w:rsidRPr="00410EB2">
        <w:rPr>
          <w:i/>
          <w:iCs/>
        </w:rPr>
        <w:t xml:space="preserve"> Cassandra: </w:t>
      </w:r>
      <w:proofErr w:type="spellStart"/>
      <w:r w:rsidRPr="00410EB2">
        <w:rPr>
          <w:i/>
          <w:iCs/>
        </w:rPr>
        <w:t>Reframing</w:t>
      </w:r>
      <w:proofErr w:type="spellEnd"/>
      <w:r w:rsidRPr="00410EB2">
        <w:rPr>
          <w:i/>
          <w:iCs/>
        </w:rPr>
        <w:t xml:space="preserve"> Intelligence </w:t>
      </w:r>
      <w:proofErr w:type="spellStart"/>
      <w:r w:rsidRPr="00410EB2">
        <w:rPr>
          <w:i/>
          <w:iCs/>
        </w:rPr>
        <w:t>Failure</w:t>
      </w:r>
      <w:proofErr w:type="spellEnd"/>
      <w:r w:rsidRPr="00410EB2">
        <w:rPr>
          <w:i/>
          <w:iCs/>
        </w:rPr>
        <w:t xml:space="preserve"> </w:t>
      </w:r>
      <w:proofErr w:type="spellStart"/>
      <w:r w:rsidRPr="00410EB2">
        <w:rPr>
          <w:i/>
          <w:iCs/>
        </w:rPr>
        <w:t>at</w:t>
      </w:r>
      <w:proofErr w:type="spellEnd"/>
      <w:r w:rsidRPr="00410EB2">
        <w:rPr>
          <w:i/>
          <w:iCs/>
        </w:rPr>
        <w:t xml:space="preserve"> the CIA, 1947–2001</w:t>
      </w:r>
      <w:r w:rsidRPr="00410EB2">
        <w:t xml:space="preserve"> per analizzare alcuni dei più importanti fallimenti dell’intelligence statunitense</w:t>
      </w:r>
      <w:r w:rsidR="00BC0324">
        <w:t xml:space="preserve"> come</w:t>
      </w:r>
      <w:r w:rsidRPr="00410EB2">
        <w:t xml:space="preserve"> la crisi dei missili di Cuba, la rivoluzione iraniana, il collasso dell’Unione Sovietica e gli attentati dell’11 settembre.</w:t>
      </w:r>
    </w:p>
    <w:p w14:paraId="2ECE220D" w14:textId="77777777" w:rsidR="00410EB2" w:rsidRPr="00410EB2" w:rsidRDefault="00410EB2" w:rsidP="004F0518">
      <w:pPr>
        <w:jc w:val="both"/>
      </w:pPr>
      <w:r w:rsidRPr="00410EB2">
        <w:t>La loro tesi è particolarmente rilevante: le organizzazioni possono possedere informazioni o analisti capaci di mettere in discussione la visione dominante e, tuttavia, non riuscire a incorporare quei warning nel proprio processo cognitivo e decisionale. Cultura organizzativa, identità istituzionale e ricerca del consenso contribuiscono a determinare quali interpretazioni vengano considerate plausibili e quali, invece, marginalizzate.</w:t>
      </w:r>
    </w:p>
    <w:p w14:paraId="34FD24FD" w14:textId="1F0122FC" w:rsidR="00410EB2" w:rsidRPr="00410EB2" w:rsidRDefault="00410EB2" w:rsidP="004F0518">
      <w:pPr>
        <w:jc w:val="both"/>
      </w:pPr>
      <w:r w:rsidRPr="00410EB2">
        <w:lastRenderedPageBreak/>
        <w:t xml:space="preserve">Il problema della sorpresa strategica, del resto, era stato affrontato molto prima anche da Richard K. Betts. Nei suoi studi sullo </w:t>
      </w:r>
      <w:proofErr w:type="spellStart"/>
      <w:r w:rsidRPr="00410EB2">
        <w:rPr>
          <w:i/>
          <w:iCs/>
        </w:rPr>
        <w:t>strategic</w:t>
      </w:r>
      <w:proofErr w:type="spellEnd"/>
      <w:r w:rsidRPr="00410EB2">
        <w:rPr>
          <w:i/>
          <w:iCs/>
        </w:rPr>
        <w:t xml:space="preserve"> warning</w:t>
      </w:r>
      <w:r w:rsidRPr="00410EB2">
        <w:t xml:space="preserve">, Betts osservava come la disponibilità di informazioni corrette non </w:t>
      </w:r>
      <w:proofErr w:type="spellStart"/>
      <w:r w:rsidRPr="00410EB2">
        <w:t>garantisca</w:t>
      </w:r>
      <w:proofErr w:type="spellEnd"/>
      <w:r w:rsidRPr="00410EB2">
        <w:t xml:space="preserve"> affatto una risposta adeguata. Ambiguità, falsi allarmi, </w:t>
      </w:r>
      <w:proofErr w:type="spellStart"/>
      <w:r w:rsidRPr="00410EB2">
        <w:t>deception</w:t>
      </w:r>
      <w:proofErr w:type="spellEnd"/>
      <w:r w:rsidRPr="00410EB2">
        <w:t>, problemi di comunicazione e soprattutto il rapporto tra intelligence e decis</w:t>
      </w:r>
      <w:r w:rsidR="004F728B">
        <w:t>or</w:t>
      </w:r>
      <w:r w:rsidRPr="00410EB2">
        <w:t xml:space="preserve">e possono produrre </w:t>
      </w:r>
      <w:proofErr w:type="spellStart"/>
      <w:r w:rsidRPr="00410EB2">
        <w:rPr>
          <w:b/>
          <w:bCs/>
        </w:rPr>
        <w:t>surprise</w:t>
      </w:r>
      <w:proofErr w:type="spellEnd"/>
      <w:r w:rsidRPr="00410EB2">
        <w:rPr>
          <w:b/>
          <w:bCs/>
        </w:rPr>
        <w:t xml:space="preserve"> </w:t>
      </w:r>
      <w:proofErr w:type="spellStart"/>
      <w:r w:rsidRPr="00410EB2">
        <w:rPr>
          <w:b/>
          <w:bCs/>
        </w:rPr>
        <w:t>despite</w:t>
      </w:r>
      <w:proofErr w:type="spellEnd"/>
      <w:r w:rsidRPr="00410EB2">
        <w:rPr>
          <w:b/>
          <w:bCs/>
        </w:rPr>
        <w:t xml:space="preserve"> warning</w:t>
      </w:r>
      <w:r w:rsidRPr="00410EB2">
        <w:t xml:space="preserve"> </w:t>
      </w:r>
      <w:r w:rsidR="00CF537C">
        <w:t>(</w:t>
      </w:r>
      <w:r w:rsidRPr="00410EB2">
        <w:t>sorpresa nonostante l’allarme</w:t>
      </w:r>
      <w:r w:rsidR="00CF537C">
        <w:t>)</w:t>
      </w:r>
      <w:r w:rsidRPr="00410EB2">
        <w:t>.</w:t>
      </w:r>
    </w:p>
    <w:p w14:paraId="5FB9743B" w14:textId="01244C2B" w:rsidR="00410EB2" w:rsidRPr="00410EB2" w:rsidRDefault="00410EB2" w:rsidP="004F0518">
      <w:pPr>
        <w:jc w:val="both"/>
      </w:pPr>
      <w:r w:rsidRPr="00410EB2">
        <w:t>È un punto fondamentale.</w:t>
      </w:r>
      <w:r w:rsidR="004F728B">
        <w:t xml:space="preserve"> </w:t>
      </w:r>
      <w:r w:rsidRPr="00410EB2">
        <w:rPr>
          <w:b/>
          <w:bCs/>
        </w:rPr>
        <w:t xml:space="preserve">Intelligence </w:t>
      </w:r>
      <w:proofErr w:type="spellStart"/>
      <w:r w:rsidRPr="00410EB2">
        <w:rPr>
          <w:b/>
          <w:bCs/>
        </w:rPr>
        <w:t>failure</w:t>
      </w:r>
      <w:proofErr w:type="spellEnd"/>
      <w:r w:rsidRPr="00410EB2">
        <w:rPr>
          <w:b/>
          <w:bCs/>
        </w:rPr>
        <w:t xml:space="preserve"> e </w:t>
      </w:r>
      <w:proofErr w:type="spellStart"/>
      <w:r w:rsidRPr="00410EB2">
        <w:rPr>
          <w:b/>
          <w:bCs/>
        </w:rPr>
        <w:t>collection</w:t>
      </w:r>
      <w:proofErr w:type="spellEnd"/>
      <w:r w:rsidRPr="00410EB2">
        <w:rPr>
          <w:b/>
          <w:bCs/>
        </w:rPr>
        <w:t xml:space="preserve"> </w:t>
      </w:r>
      <w:proofErr w:type="spellStart"/>
      <w:r w:rsidRPr="00410EB2">
        <w:rPr>
          <w:b/>
          <w:bCs/>
        </w:rPr>
        <w:t>failure</w:t>
      </w:r>
      <w:proofErr w:type="spellEnd"/>
      <w:r w:rsidRPr="00410EB2">
        <w:rPr>
          <w:b/>
          <w:bCs/>
        </w:rPr>
        <w:t xml:space="preserve"> non sono sinonimi.</w:t>
      </w:r>
    </w:p>
    <w:p w14:paraId="68ACE827" w14:textId="53E2DBC4" w:rsidR="00410EB2" w:rsidRPr="00410EB2" w:rsidRDefault="00410EB2" w:rsidP="004F0518">
      <w:pPr>
        <w:jc w:val="both"/>
      </w:pPr>
      <w:r w:rsidRPr="00410EB2">
        <w:t>Possiamo</w:t>
      </w:r>
      <w:r w:rsidR="004F728B">
        <w:t>, infatti,</w:t>
      </w:r>
      <w:r w:rsidRPr="00410EB2">
        <w:t xml:space="preserve"> avere almeno quattro situazioni differenti:</w:t>
      </w:r>
    </w:p>
    <w:p w14:paraId="4C530F83" w14:textId="77777777" w:rsidR="00410EB2" w:rsidRPr="00410EB2" w:rsidRDefault="00410EB2" w:rsidP="00451E48">
      <w:pPr>
        <w:numPr>
          <w:ilvl w:val="0"/>
          <w:numId w:val="30"/>
        </w:numPr>
        <w:jc w:val="both"/>
      </w:pPr>
      <w:r w:rsidRPr="00410EB2">
        <w:t>il segnale non viene raccolto;</w:t>
      </w:r>
    </w:p>
    <w:p w14:paraId="2986EB49" w14:textId="77777777" w:rsidR="00410EB2" w:rsidRPr="00410EB2" w:rsidRDefault="00410EB2" w:rsidP="00451E48">
      <w:pPr>
        <w:numPr>
          <w:ilvl w:val="0"/>
          <w:numId w:val="30"/>
        </w:numPr>
        <w:jc w:val="both"/>
      </w:pPr>
      <w:r w:rsidRPr="00410EB2">
        <w:t>il segnale viene raccolto ma non riconosciuto;</w:t>
      </w:r>
    </w:p>
    <w:p w14:paraId="37FD0911" w14:textId="77777777" w:rsidR="00410EB2" w:rsidRPr="00410EB2" w:rsidRDefault="00410EB2" w:rsidP="00451E48">
      <w:pPr>
        <w:numPr>
          <w:ilvl w:val="0"/>
          <w:numId w:val="30"/>
        </w:numPr>
        <w:jc w:val="both"/>
      </w:pPr>
      <w:r w:rsidRPr="00410EB2">
        <w:t>il segnale viene riconosciuto ma non valutato correttamente;</w:t>
      </w:r>
    </w:p>
    <w:p w14:paraId="015197D6" w14:textId="77777777" w:rsidR="00410EB2" w:rsidRPr="00410EB2" w:rsidRDefault="00410EB2" w:rsidP="00451E48">
      <w:pPr>
        <w:numPr>
          <w:ilvl w:val="0"/>
          <w:numId w:val="30"/>
        </w:numPr>
        <w:jc w:val="both"/>
      </w:pPr>
      <w:r w:rsidRPr="00410EB2">
        <w:t>il warning viene prodotto, ma non genera una risposta adeguata.</w:t>
      </w:r>
    </w:p>
    <w:p w14:paraId="323AAB3C" w14:textId="77777777" w:rsidR="00410EB2" w:rsidRPr="00410EB2" w:rsidRDefault="00410EB2" w:rsidP="004F0518">
      <w:pPr>
        <w:jc w:val="both"/>
      </w:pPr>
      <w:r w:rsidRPr="00410EB2">
        <w:t>È soprattutto nelle ultime due condizioni che compare il problema di Cassandra.</w:t>
      </w:r>
    </w:p>
    <w:p w14:paraId="025C8A47" w14:textId="006C6A91" w:rsidR="00410EB2" w:rsidRPr="00410EB2" w:rsidRDefault="00410EB2" w:rsidP="00F44609">
      <w:pPr>
        <w:pStyle w:val="Titolo2"/>
        <w:spacing w:before="360"/>
        <w:jc w:val="both"/>
      </w:pPr>
      <w:bookmarkStart w:id="2" w:name="cassandra-e-lintelligence-failure"/>
      <w:bookmarkEnd w:id="2"/>
      <w:r w:rsidRPr="00410EB2">
        <w:t>Ceuta: i segnali esistevano</w:t>
      </w:r>
    </w:p>
    <w:p w14:paraId="333166A6" w14:textId="4ED26D01" w:rsidR="00410EB2" w:rsidRPr="00410EB2" w:rsidRDefault="00410EB2" w:rsidP="004F0518">
      <w:pPr>
        <w:jc w:val="both"/>
      </w:pPr>
      <w:r w:rsidRPr="00410EB2">
        <w:t xml:space="preserve">La documentazione resa pubblica dal Governo spagnolo il 9 settembre 2026 modifica significativamente il quadro informativo </w:t>
      </w:r>
      <w:r w:rsidR="004C2D7E">
        <w:t xml:space="preserve">fino a quel momento </w:t>
      </w:r>
      <w:r w:rsidRPr="00410EB2">
        <w:t>disponibile per analizzare gli eventi.</w:t>
      </w:r>
    </w:p>
    <w:p w14:paraId="093BCDE2" w14:textId="77777777" w:rsidR="00410EB2" w:rsidRPr="00410EB2" w:rsidRDefault="00410EB2" w:rsidP="004F0518">
      <w:pPr>
        <w:jc w:val="both"/>
      </w:pPr>
      <w:r w:rsidRPr="00410EB2">
        <w:t xml:space="preserve">Il repository ufficiale comprende </w:t>
      </w:r>
      <w:r w:rsidRPr="00410EB2">
        <w:rPr>
          <w:b/>
          <w:bCs/>
        </w:rPr>
        <w:t xml:space="preserve">40 documenti e comunicazioni prodotti tra il </w:t>
      </w:r>
      <w:proofErr w:type="gramStart"/>
      <w:r w:rsidRPr="00410EB2">
        <w:rPr>
          <w:b/>
          <w:bCs/>
        </w:rPr>
        <w:t>1°</w:t>
      </w:r>
      <w:proofErr w:type="gramEnd"/>
      <w:r w:rsidRPr="00410EB2">
        <w:rPr>
          <w:b/>
          <w:bCs/>
        </w:rPr>
        <w:t xml:space="preserve"> e il 31 luglio</w:t>
      </w:r>
      <w:r w:rsidRPr="00410EB2">
        <w:t xml:space="preserve"> da </w:t>
      </w:r>
      <w:proofErr w:type="spellStart"/>
      <w:r w:rsidRPr="00410EB2">
        <w:t>Policía</w:t>
      </w:r>
      <w:proofErr w:type="spellEnd"/>
      <w:r w:rsidRPr="00410EB2">
        <w:t xml:space="preserve"> </w:t>
      </w:r>
      <w:proofErr w:type="spellStart"/>
      <w:r w:rsidRPr="00410EB2">
        <w:t>Nacional</w:t>
      </w:r>
      <w:proofErr w:type="spellEnd"/>
      <w:r w:rsidRPr="00410EB2">
        <w:t>/CENIF, Guardia Civil, CNI e CIFAS. La documentazione permette quindi di ricostruire almeno parzialmente ciò che le diverse componenti dell’apparato di sicurezza spagnolo conoscevano prima e durante la crisi.</w:t>
      </w:r>
    </w:p>
    <w:p w14:paraId="3CA01FDC" w14:textId="7B584FB8" w:rsidR="00410EB2" w:rsidRPr="00410EB2" w:rsidRDefault="00410EB2" w:rsidP="004F0518">
      <w:pPr>
        <w:jc w:val="both"/>
      </w:pPr>
      <w:r w:rsidRPr="00410EB2">
        <w:t>Un passaggio</w:t>
      </w:r>
      <w:r w:rsidR="00D21783">
        <w:t>, comunque,</w:t>
      </w:r>
      <w:r w:rsidRPr="00410EB2">
        <w:t xml:space="preserve"> appare particolarmente significativo.</w:t>
      </w:r>
      <w:r w:rsidR="0077546D">
        <w:t xml:space="preserve"> </w:t>
      </w:r>
      <w:r w:rsidRPr="00410EB2">
        <w:t xml:space="preserve">Il </w:t>
      </w:r>
      <w:r w:rsidRPr="00410EB2">
        <w:rPr>
          <w:b/>
          <w:bCs/>
        </w:rPr>
        <w:t>29 luglio</w:t>
      </w:r>
      <w:r w:rsidRPr="00410EB2">
        <w:t xml:space="preserve">, un giorno prima dell’ingresso massiccio, il CNI segnalò alla </w:t>
      </w:r>
      <w:proofErr w:type="spellStart"/>
      <w:r w:rsidRPr="00410EB2">
        <w:t>Delegación</w:t>
      </w:r>
      <w:proofErr w:type="spellEnd"/>
      <w:r w:rsidRPr="00410EB2">
        <w:t xml:space="preserve"> del </w:t>
      </w:r>
      <w:proofErr w:type="spellStart"/>
      <w:r w:rsidRPr="00410EB2">
        <w:t>Gobierno</w:t>
      </w:r>
      <w:proofErr w:type="spellEnd"/>
      <w:r w:rsidRPr="00410EB2">
        <w:t xml:space="preserve"> di Ceuta che sui social network circolava un appello per un possibile ingresso </w:t>
      </w:r>
      <w:r w:rsidR="003F35AA">
        <w:t xml:space="preserve">via </w:t>
      </w:r>
      <w:r w:rsidR="003F35AA" w:rsidRPr="003F35AA">
        <w:rPr>
          <w:b/>
          <w:bCs/>
        </w:rPr>
        <w:t>terra</w:t>
      </w:r>
      <w:r w:rsidRPr="00410EB2">
        <w:rPr>
          <w:b/>
          <w:bCs/>
        </w:rPr>
        <w:t xml:space="preserve"> e mare</w:t>
      </w:r>
      <w:r w:rsidRPr="00410EB2">
        <w:t xml:space="preserve"> previsto per il giorno successivo, approfittando della Festa del Trono marocchina. La comunicazione sottolineava inoltre che due gruppi coinvolti nella diffusione raggiungevano complessivamente circa </w:t>
      </w:r>
      <w:r w:rsidRPr="00410EB2">
        <w:rPr>
          <w:b/>
          <w:bCs/>
        </w:rPr>
        <w:t>180.000 follower</w:t>
      </w:r>
      <w:r w:rsidRPr="00410EB2">
        <w:t>. Informazioni analoghe furono trasmesse alla Guardia Civil.</w:t>
      </w:r>
    </w:p>
    <w:p w14:paraId="365F91D2" w14:textId="786409FF" w:rsidR="00410EB2" w:rsidRPr="00410EB2" w:rsidRDefault="00410EB2" w:rsidP="004F0518">
      <w:pPr>
        <w:jc w:val="both"/>
      </w:pPr>
      <w:r w:rsidRPr="00410EB2">
        <w:t>Il quadro non nasceva però improvvisamente il 29 luglio.</w:t>
      </w:r>
      <w:r w:rsidR="0077546D">
        <w:t xml:space="preserve"> </w:t>
      </w:r>
      <w:r w:rsidRPr="00410EB2">
        <w:t>Nei giorni precedenti erano stati osservati un aumento degli attraversamenti a nuoto e una crescente mobilitazione sui social network. Il CENIF aveva inoltre individuato una campagna digitale nella quale informazioni reali, interpretazioni distorte e messaggi semplificati contribuivano ad alimentare aspettative sulla possibilità di entrare in territorio spagnolo.</w:t>
      </w:r>
    </w:p>
    <w:p w14:paraId="787C740D" w14:textId="201C1799" w:rsidR="00410EB2" w:rsidRPr="00410EB2" w:rsidRDefault="00410EB2" w:rsidP="004F0518">
      <w:pPr>
        <w:jc w:val="both"/>
      </w:pPr>
      <w:r w:rsidRPr="00410EB2">
        <w:t>Il 30 luglio la situazione cambiò radicalmente.</w:t>
      </w:r>
      <w:r w:rsidR="0077546D">
        <w:t xml:space="preserve"> </w:t>
      </w:r>
      <w:r w:rsidRPr="00410EB2">
        <w:t xml:space="preserve">Oltre </w:t>
      </w:r>
      <w:r w:rsidRPr="00410EB2">
        <w:rPr>
          <w:b/>
          <w:bCs/>
        </w:rPr>
        <w:t>70.000 persone</w:t>
      </w:r>
      <w:r w:rsidRPr="00410EB2">
        <w:t xml:space="preserve"> attraversarono il confine, producendo una crisi di dimensioni enormemente superiori rispetto agli episodi precedenti. I documenti successivamente pubblicati indicano inoltre valutazioni differenti circa il comportamento delle autorità marocchine. Il CIFAS giudicò «molto probabile» che Rabat non </w:t>
      </w:r>
      <w:r w:rsidRPr="00410EB2">
        <w:lastRenderedPageBreak/>
        <w:t>avesse favorito attivamente l’ondata migratoria, ma ritenne possibile una condotta negligente o passiva e non escluse che il Marocco potesse successivamente sfruttare la crisi in funzione dei propri interessi strategici.</w:t>
      </w:r>
    </w:p>
    <w:p w14:paraId="597D0B29" w14:textId="77777777" w:rsidR="00410EB2" w:rsidRPr="00410EB2" w:rsidRDefault="00410EB2" w:rsidP="004F0518">
      <w:pPr>
        <w:jc w:val="both"/>
      </w:pPr>
      <w:r w:rsidRPr="00410EB2">
        <w:t>Parallelamente, l’indagine giudiziaria sta cercando di chiarire dinamiche e responsabilità. Alcuni elementi contenuti nel rapporto CENIF hanno alimentato interrogativi sul comportamento di appartenenti alle forze marocchine, ma allo stato attuale non consentono di trasformare tali elementi in una conclusione definitiva circa una pianificazione statale dell’evento.</w:t>
      </w:r>
    </w:p>
    <w:p w14:paraId="0DA254DE" w14:textId="14E070BF" w:rsidR="00410EB2" w:rsidRPr="00410EB2" w:rsidRDefault="00410EB2" w:rsidP="004F0518">
      <w:pPr>
        <w:jc w:val="both"/>
      </w:pPr>
      <w:r w:rsidRPr="00410EB2">
        <w:t>Questa distinzione è essenziale.</w:t>
      </w:r>
      <w:r w:rsidR="008E7A7E">
        <w:t xml:space="preserve"> </w:t>
      </w:r>
      <w:r w:rsidRPr="00410EB2">
        <w:t xml:space="preserve">Per l’analista intelligence, </w:t>
      </w:r>
      <w:r w:rsidRPr="00410EB2">
        <w:rPr>
          <w:b/>
          <w:bCs/>
        </w:rPr>
        <w:t>evidenza, ipotesi e conclusione non possono essere confuse</w:t>
      </w:r>
      <w:r w:rsidRPr="00410EB2">
        <w:t>.</w:t>
      </w:r>
    </w:p>
    <w:p w14:paraId="05C1ECAA" w14:textId="77777777" w:rsidR="00410EB2" w:rsidRPr="00410EB2" w:rsidRDefault="00410EB2" w:rsidP="00F44609">
      <w:pPr>
        <w:pStyle w:val="Titolo2"/>
        <w:spacing w:before="360"/>
      </w:pPr>
      <w:bookmarkStart w:id="3" w:name="ceuta-i-segnali-esistevano"/>
      <w:bookmarkStart w:id="4" w:name="Xe91483667639e637bdb2e8d5d37ea6192c44769"/>
      <w:bookmarkEnd w:id="3"/>
      <w:r w:rsidRPr="00410EB2">
        <w:t>Il paradosso: un warning c’era, ma quanto era realmente predittivo?</w:t>
      </w:r>
    </w:p>
    <w:p w14:paraId="7BA0E0D7" w14:textId="77777777" w:rsidR="00410EB2" w:rsidRPr="00410EB2" w:rsidRDefault="00410EB2" w:rsidP="004F0518">
      <w:pPr>
        <w:jc w:val="both"/>
      </w:pPr>
      <w:r w:rsidRPr="00410EB2">
        <w:t>Qui emerge il problema analitico più interessante.</w:t>
      </w:r>
    </w:p>
    <w:p w14:paraId="65DE82F4" w14:textId="77777777" w:rsidR="00410EB2" w:rsidRPr="00410EB2" w:rsidRDefault="00410EB2" w:rsidP="004F0518">
      <w:pPr>
        <w:jc w:val="both"/>
      </w:pPr>
      <w:r w:rsidRPr="00410EB2">
        <w:t>Affermare che «nessuno aveva previsto Ceuta» sarebbe oggi troppo semplice.</w:t>
      </w:r>
    </w:p>
    <w:p w14:paraId="2452A561" w14:textId="77777777" w:rsidR="00410EB2" w:rsidRPr="00410EB2" w:rsidRDefault="00410EB2" w:rsidP="004F0518">
      <w:pPr>
        <w:jc w:val="both"/>
      </w:pPr>
      <w:r w:rsidRPr="00410EB2">
        <w:t>Ma sarebbe altrettanto semplicistico sostenere che «l’intelligence aveva previsto tutto».</w:t>
      </w:r>
    </w:p>
    <w:p w14:paraId="119F52CF" w14:textId="77777777" w:rsidR="00410EB2" w:rsidRPr="00410EB2" w:rsidRDefault="00410EB2" w:rsidP="004F0518">
      <w:pPr>
        <w:jc w:val="both"/>
      </w:pPr>
      <w:r w:rsidRPr="00410EB2">
        <w:t xml:space="preserve">Il CNI stesso, dopo la pubblicazione dei documenti, ha precisato di aver segnalato la campagna che invitava all’ingresso a Ceuta, riconoscendo però che quelle informazioni </w:t>
      </w:r>
      <w:r w:rsidRPr="00410EB2">
        <w:rPr>
          <w:b/>
          <w:bCs/>
        </w:rPr>
        <w:t>non consentirono di anticipare la magnitudine e la natura di ciò che sarebbe effettivamente accaduto</w:t>
      </w:r>
      <w:r w:rsidRPr="00410EB2">
        <w:t>.</w:t>
      </w:r>
    </w:p>
    <w:p w14:paraId="1A0DB1C1" w14:textId="465B77BB" w:rsidR="00410EB2" w:rsidRPr="00410EB2" w:rsidRDefault="00410EB2" w:rsidP="004F0518">
      <w:pPr>
        <w:jc w:val="both"/>
      </w:pPr>
      <w:r w:rsidRPr="00410EB2">
        <w:t>Questa distinzione dovrebbe essere al centro dell’analisi.</w:t>
      </w:r>
      <w:r w:rsidR="00470E0B">
        <w:t xml:space="preserve"> </w:t>
      </w:r>
      <w:r w:rsidRPr="00410EB2">
        <w:t>L’intelligence non deve soltanto identificare un evento possibile.</w:t>
      </w:r>
      <w:r w:rsidR="00470E0B">
        <w:t xml:space="preserve"> </w:t>
      </w:r>
      <w:r w:rsidRPr="00410EB2">
        <w:t>Deve stimarne, per quanto consentito dalle evidenze disponibili:</w:t>
      </w:r>
      <w:r w:rsidR="00470E0B">
        <w:t xml:space="preserve"> </w:t>
      </w:r>
      <w:r w:rsidRPr="00410EB2">
        <w:rPr>
          <w:b/>
          <w:bCs/>
        </w:rPr>
        <w:t>probabilità × impatto × imminenza.</w:t>
      </w:r>
    </w:p>
    <w:p w14:paraId="7AF84270" w14:textId="1B5B8925" w:rsidR="00410EB2" w:rsidRPr="00410EB2" w:rsidRDefault="00410EB2" w:rsidP="004F0518">
      <w:pPr>
        <w:jc w:val="both"/>
      </w:pPr>
      <w:r w:rsidRPr="00410EB2">
        <w:t>Un’informazione del tipo:</w:t>
      </w:r>
      <w:r w:rsidR="00470E0B">
        <w:t xml:space="preserve"> </w:t>
      </w:r>
      <w:r w:rsidRPr="00410EB2">
        <w:t>«domani potrebbero verificarsi tentativi di ingresso»</w:t>
      </w:r>
      <w:r w:rsidR="00470E0B">
        <w:t xml:space="preserve"> </w:t>
      </w:r>
      <w:r w:rsidRPr="00410EB2">
        <w:t>non equivale necessariamente a:</w:t>
      </w:r>
      <w:r w:rsidR="00470E0B">
        <w:t xml:space="preserve"> </w:t>
      </w:r>
      <w:r w:rsidRPr="00410EB2">
        <w:t>«esiste un’elevata probabilità che decine di migliaia di persone attraversino simultaneamente il confine, provocando il collasso del dispositivo di sicurezza».</w:t>
      </w:r>
    </w:p>
    <w:p w14:paraId="7142DA02" w14:textId="5F601E96" w:rsidR="00410EB2" w:rsidRPr="00410EB2" w:rsidRDefault="00410EB2" w:rsidP="004F0518">
      <w:pPr>
        <w:jc w:val="both"/>
      </w:pPr>
      <w:r w:rsidRPr="00410EB2">
        <w:t xml:space="preserve">Il primo è un </w:t>
      </w:r>
      <w:r w:rsidRPr="00410EB2">
        <w:rPr>
          <w:b/>
          <w:bCs/>
        </w:rPr>
        <w:t>warning generico</w:t>
      </w:r>
      <w:r w:rsidRPr="00410EB2">
        <w:t>.</w:t>
      </w:r>
      <w:r w:rsidR="008F4C57">
        <w:t xml:space="preserve"> </w:t>
      </w:r>
      <w:r w:rsidRPr="00410EB2">
        <w:t xml:space="preserve">Il secondo è un </w:t>
      </w:r>
      <w:r w:rsidRPr="00410EB2">
        <w:rPr>
          <w:b/>
          <w:bCs/>
        </w:rPr>
        <w:t>warning strategicamente fruibile</w:t>
      </w:r>
      <w:r w:rsidRPr="00410EB2">
        <w:t>, perché modifica radicalmente il livello di rischio percepito e può giustificare misure eccezionali.</w:t>
      </w:r>
    </w:p>
    <w:p w14:paraId="2CB26FB8" w14:textId="77777777" w:rsidR="00410EB2" w:rsidRPr="00410EB2" w:rsidRDefault="00410EB2" w:rsidP="004F0518">
      <w:pPr>
        <w:jc w:val="both"/>
      </w:pPr>
      <w:r w:rsidRPr="00410EB2">
        <w:t>Ed è precisamente nello spazio tra queste due formulazioni che può nascere Cassandra.</w:t>
      </w:r>
    </w:p>
    <w:bookmarkEnd w:id="4"/>
    <w:p w14:paraId="1D6BF3F0" w14:textId="77777777" w:rsidR="00410EB2" w:rsidRPr="00410EB2" w:rsidRDefault="00410EB2" w:rsidP="00F44609">
      <w:pPr>
        <w:pStyle w:val="Titolo2"/>
        <w:spacing w:before="360"/>
      </w:pPr>
      <w:r w:rsidRPr="00410EB2">
        <w:t>Dal segnale all’indicatore</w:t>
      </w:r>
    </w:p>
    <w:p w14:paraId="517A0D16" w14:textId="77777777" w:rsidR="00410EB2" w:rsidRPr="00410EB2" w:rsidRDefault="00410EB2" w:rsidP="004F0518">
      <w:pPr>
        <w:jc w:val="both"/>
      </w:pPr>
      <w:r w:rsidRPr="00410EB2">
        <w:t>Il caso Ceuta permette di riprendere una distinzione metodologica fondamentale.</w:t>
      </w:r>
    </w:p>
    <w:p w14:paraId="1E7F3156" w14:textId="540DA22F" w:rsidR="00410EB2" w:rsidRPr="00410EB2" w:rsidRDefault="00410EB2" w:rsidP="004F0518">
      <w:pPr>
        <w:jc w:val="both"/>
      </w:pPr>
      <w:r w:rsidRPr="00410EB2">
        <w:rPr>
          <w:b/>
          <w:bCs/>
        </w:rPr>
        <w:t>Un evento osservato non è automaticamente un indicatore</w:t>
      </w:r>
      <w:r w:rsidR="002562F4">
        <w:rPr>
          <w:b/>
          <w:bCs/>
        </w:rPr>
        <w:t xml:space="preserve"> </w:t>
      </w:r>
      <w:r w:rsidR="002562F4" w:rsidRPr="002562F4">
        <w:t>e</w:t>
      </w:r>
      <w:r w:rsidRPr="00410EB2">
        <w:t xml:space="preserve"> un indicatore non costituisce automaticamente un warning.</w:t>
      </w:r>
    </w:p>
    <w:p w14:paraId="2951E98A" w14:textId="66F5FE60" w:rsidR="00410EB2" w:rsidRPr="00410EB2" w:rsidRDefault="00410EB2" w:rsidP="004F0518">
      <w:pPr>
        <w:jc w:val="both"/>
      </w:pPr>
      <w:r w:rsidRPr="00410EB2">
        <w:t>Possiamo rappresentare il processo come una catena:</w:t>
      </w:r>
      <w:r w:rsidR="001D233F">
        <w:t xml:space="preserve"> </w:t>
      </w:r>
      <w:r w:rsidRPr="00410EB2">
        <w:rPr>
          <w:b/>
          <w:bCs/>
        </w:rPr>
        <w:t>Evento → Segnale → Indicatore → Pattern → Warning → Decisione → Azione</w:t>
      </w:r>
    </w:p>
    <w:p w14:paraId="32127A61" w14:textId="0A06628D" w:rsidR="00410EB2" w:rsidRPr="00410EB2" w:rsidRDefault="00410EB2" w:rsidP="004F0518">
      <w:pPr>
        <w:jc w:val="both"/>
      </w:pPr>
      <w:r w:rsidRPr="00410EB2">
        <w:lastRenderedPageBreak/>
        <w:t>A ogni passaggio avviene una trasformazione cognitiva.</w:t>
      </w:r>
      <w:r w:rsidR="0066159F">
        <w:t xml:space="preserve"> </w:t>
      </w:r>
      <w:r w:rsidRPr="00410EB2">
        <w:t>Un aumento degli attraversamenti a nuoto costituisce un evento.</w:t>
      </w:r>
    </w:p>
    <w:p w14:paraId="09EDB036" w14:textId="77777777" w:rsidR="00410EB2" w:rsidRPr="00410EB2" w:rsidRDefault="00410EB2" w:rsidP="004F0518">
      <w:pPr>
        <w:jc w:val="both"/>
      </w:pPr>
      <w:r w:rsidRPr="00410EB2">
        <w:t>La crescita coordinata dei messaggi sui social può costituire un secondo evento.</w:t>
      </w:r>
    </w:p>
    <w:p w14:paraId="7E8DBA57" w14:textId="77777777" w:rsidR="00410EB2" w:rsidRPr="00410EB2" w:rsidRDefault="00410EB2" w:rsidP="004F0518">
      <w:pPr>
        <w:jc w:val="both"/>
      </w:pPr>
      <w:r w:rsidRPr="00410EB2">
        <w:t>La convocazione per una determinata data costituisce un altro elemento.</w:t>
      </w:r>
    </w:p>
    <w:p w14:paraId="1E329AB0" w14:textId="77777777" w:rsidR="00410EB2" w:rsidRPr="00410EB2" w:rsidRDefault="00410EB2" w:rsidP="004F0518">
      <w:pPr>
        <w:jc w:val="both"/>
      </w:pPr>
      <w:r w:rsidRPr="00410EB2">
        <w:t>L’eventuale riduzione della capacità di controllo dall’altra parte del confine costituisce un ulteriore dato.</w:t>
      </w:r>
    </w:p>
    <w:p w14:paraId="166507D0" w14:textId="77777777" w:rsidR="00410EB2" w:rsidRPr="00410EB2" w:rsidRDefault="00410EB2" w:rsidP="004F0518">
      <w:pPr>
        <w:jc w:val="both"/>
      </w:pPr>
      <w:r w:rsidRPr="00410EB2">
        <w:t>Presi singolarmente, questi elementi possono avere un valore limitato.</w:t>
      </w:r>
    </w:p>
    <w:p w14:paraId="65084B9A" w14:textId="47F2B0FC" w:rsidR="00410EB2" w:rsidRPr="00410EB2" w:rsidRDefault="00410EB2" w:rsidP="004F0518">
      <w:pPr>
        <w:jc w:val="both"/>
      </w:pPr>
      <w:r w:rsidRPr="00410EB2">
        <w:t xml:space="preserve">La funzione dell’analisi consiste nel chiedersi se </w:t>
      </w:r>
      <w:r w:rsidRPr="00410EB2">
        <w:rPr>
          <w:b/>
          <w:bCs/>
        </w:rPr>
        <w:t>la loro convergenza stia modificando la probabilità di una determinata ipotesi</w:t>
      </w:r>
      <w:r w:rsidRPr="00410EB2">
        <w:t>.</w:t>
      </w:r>
      <w:r w:rsidR="0066159F">
        <w:t xml:space="preserve"> </w:t>
      </w:r>
      <w:r w:rsidRPr="00410EB2">
        <w:t>È qui che entra in gioco l’</w:t>
      </w:r>
      <w:proofErr w:type="spellStart"/>
      <w:r w:rsidRPr="00410EB2">
        <w:t>indicator</w:t>
      </w:r>
      <w:proofErr w:type="spellEnd"/>
      <w:r w:rsidRPr="00410EB2">
        <w:t xml:space="preserve"> </w:t>
      </w:r>
      <w:proofErr w:type="spellStart"/>
      <w:r w:rsidRPr="00410EB2">
        <w:t>analysis</w:t>
      </w:r>
      <w:proofErr w:type="spellEnd"/>
      <w:r w:rsidRPr="00410EB2">
        <w:t>.</w:t>
      </w:r>
    </w:p>
    <w:p w14:paraId="0A492D2A" w14:textId="77777777" w:rsidR="00410EB2" w:rsidRPr="00410EB2" w:rsidRDefault="00410EB2" w:rsidP="004F0518">
      <w:pPr>
        <w:jc w:val="both"/>
      </w:pPr>
      <w:r w:rsidRPr="00410EB2">
        <w:t>Immaginiamo che prima della crisi fossero state formulate tre ipotesi:</w:t>
      </w:r>
    </w:p>
    <w:p w14:paraId="34564C0C" w14:textId="77777777" w:rsidR="00410EB2" w:rsidRPr="00410EB2" w:rsidRDefault="00410EB2" w:rsidP="004F0518">
      <w:pPr>
        <w:jc w:val="both"/>
      </w:pPr>
      <w:r w:rsidRPr="00410EB2">
        <w:rPr>
          <w:b/>
          <w:bCs/>
        </w:rPr>
        <w:t>H1 — Pressione migratoria ordinaria</w:t>
      </w:r>
      <w:r w:rsidRPr="00410EB2">
        <w:t>, caratterizzata da oscillazioni quantitative ma gestibile con i dispositivi esistenti.</w:t>
      </w:r>
    </w:p>
    <w:p w14:paraId="6DB02D24" w14:textId="77777777" w:rsidR="00410EB2" w:rsidRPr="00410EB2" w:rsidRDefault="00410EB2" w:rsidP="004F0518">
      <w:pPr>
        <w:jc w:val="both"/>
      </w:pPr>
      <w:r w:rsidRPr="00410EB2">
        <w:rPr>
          <w:b/>
          <w:bCs/>
        </w:rPr>
        <w:t>H2 — Tentativo coordinato di ingresso massiccio</w:t>
      </w:r>
      <w:r w:rsidRPr="00410EB2">
        <w:t>, favorito dalla mobilitazione attraverso social network e messaggistica.</w:t>
      </w:r>
    </w:p>
    <w:p w14:paraId="1AC0B48B" w14:textId="77777777" w:rsidR="00410EB2" w:rsidRPr="00410EB2" w:rsidRDefault="00410EB2" w:rsidP="004F0518">
      <w:pPr>
        <w:jc w:val="both"/>
      </w:pPr>
      <w:r w:rsidRPr="00410EB2">
        <w:rPr>
          <w:b/>
          <w:bCs/>
        </w:rPr>
        <w:t>H3 — Crisi deliberatamente favorita o sfruttata da un attore statale</w:t>
      </w:r>
      <w:r w:rsidRPr="00410EB2">
        <w:t>, con finalità di pressione politica o strategica.</w:t>
      </w:r>
    </w:p>
    <w:p w14:paraId="039E357E" w14:textId="76D7314F" w:rsidR="00410EB2" w:rsidRPr="00410EB2" w:rsidRDefault="00410EB2" w:rsidP="004F0518">
      <w:pPr>
        <w:jc w:val="both"/>
      </w:pPr>
      <w:r w:rsidRPr="00410EB2">
        <w:t>L’analista avrebbe dovuto chiedersi:</w:t>
      </w:r>
      <w:r w:rsidR="00696AE7">
        <w:t xml:space="preserve"> </w:t>
      </w:r>
      <w:r w:rsidRPr="00410EB2">
        <w:rPr>
          <w:i/>
          <w:iCs/>
        </w:rPr>
        <w:t>quali indicatori dovremmo osservare se ciascuna di queste ipotesi fosse vera?</w:t>
      </w:r>
    </w:p>
    <w:p w14:paraId="56DD91B6" w14:textId="629F5100" w:rsidR="00410EB2" w:rsidRPr="00696AE7" w:rsidRDefault="00410EB2" w:rsidP="004F0518">
      <w:pPr>
        <w:jc w:val="both"/>
      </w:pPr>
      <w:r w:rsidRPr="00410EB2">
        <w:t>È una domanda molto diversa dal semplice:</w:t>
      </w:r>
      <w:r w:rsidR="00696AE7">
        <w:t xml:space="preserve"> </w:t>
      </w:r>
      <w:r w:rsidRPr="00696AE7">
        <w:rPr>
          <w:i/>
          <w:iCs/>
        </w:rPr>
        <w:t>che cosa sta succedendo?</w:t>
      </w:r>
    </w:p>
    <w:p w14:paraId="6684CC1A" w14:textId="77777777" w:rsidR="00410EB2" w:rsidRPr="00410EB2" w:rsidRDefault="00410EB2" w:rsidP="00F44609">
      <w:pPr>
        <w:pStyle w:val="Titolo2"/>
        <w:spacing w:before="360"/>
      </w:pPr>
      <w:bookmarkStart w:id="5" w:name="dal-segnale-allindicatore"/>
      <w:bookmarkStart w:id="6" w:name="Xde5ff528b5b199a3fb0f5ad5830aaf1bbdbded4"/>
      <w:bookmarkEnd w:id="5"/>
      <w:r w:rsidRPr="00410EB2">
        <w:t>Il problema della normalizzazione del segnale</w:t>
      </w:r>
    </w:p>
    <w:p w14:paraId="0F96F177" w14:textId="77777777" w:rsidR="00410EB2" w:rsidRPr="00410EB2" w:rsidRDefault="00410EB2" w:rsidP="004F0518">
      <w:pPr>
        <w:jc w:val="both"/>
      </w:pPr>
      <w:r w:rsidRPr="00410EB2">
        <w:t>Qui compare uno dei meccanismi cognitivi più pericolosi.</w:t>
      </w:r>
    </w:p>
    <w:p w14:paraId="2CBA2AEA" w14:textId="77777777" w:rsidR="00410EB2" w:rsidRPr="00410EB2" w:rsidRDefault="00410EB2" w:rsidP="004F0518">
      <w:pPr>
        <w:jc w:val="both"/>
      </w:pPr>
      <w:r w:rsidRPr="00410EB2">
        <w:t xml:space="preserve">Quando un fenomeno si ripete frequentemente senza produrre conseguenze catastrofiche, l’organizzazione tende progressivamente a considerarlo </w:t>
      </w:r>
      <w:r w:rsidRPr="00410EB2">
        <w:rPr>
          <w:b/>
          <w:bCs/>
        </w:rPr>
        <w:t>normale</w:t>
      </w:r>
      <w:r w:rsidRPr="00410EB2">
        <w:t>.</w:t>
      </w:r>
    </w:p>
    <w:p w14:paraId="2CA7CFF7" w14:textId="70B1C14B" w:rsidR="00410EB2" w:rsidRPr="00410EB2" w:rsidRDefault="00410EB2" w:rsidP="004F0518">
      <w:pPr>
        <w:jc w:val="both"/>
      </w:pPr>
      <w:r w:rsidRPr="00410EB2">
        <w:t>Tentativi di attraversamento.</w:t>
      </w:r>
      <w:r w:rsidR="009815D7">
        <w:t xml:space="preserve"> </w:t>
      </w:r>
      <w:r w:rsidRPr="00410EB2">
        <w:t>Messaggi sui social.</w:t>
      </w:r>
      <w:r w:rsidR="009815D7">
        <w:t xml:space="preserve"> </w:t>
      </w:r>
      <w:proofErr w:type="spellStart"/>
      <w:r w:rsidRPr="00410EB2">
        <w:t>Rumors</w:t>
      </w:r>
      <w:proofErr w:type="spellEnd"/>
      <w:r w:rsidRPr="00410EB2">
        <w:t>.</w:t>
      </w:r>
      <w:r w:rsidR="009815D7">
        <w:t xml:space="preserve"> </w:t>
      </w:r>
      <w:r w:rsidRPr="00410EB2">
        <w:t>Appelli alla mobilitazione.</w:t>
      </w:r>
      <w:r w:rsidR="009815D7">
        <w:t xml:space="preserve"> </w:t>
      </w:r>
      <w:r w:rsidRPr="00410EB2">
        <w:t>Aumento temporaneo della pressione migratoria.</w:t>
      </w:r>
    </w:p>
    <w:p w14:paraId="3CE20C86" w14:textId="77777777" w:rsidR="00410EB2" w:rsidRPr="00410EB2" w:rsidRDefault="00410EB2" w:rsidP="004F0518">
      <w:pPr>
        <w:jc w:val="both"/>
      </w:pPr>
      <w:r w:rsidRPr="00410EB2">
        <w:t>Se eventi analoghi sono già avvenuti senza determinare una crisi sistemica, ogni nuovo episodio rischia di essere interpretato utilizzando il modello precedente.</w:t>
      </w:r>
    </w:p>
    <w:p w14:paraId="470749B2" w14:textId="1FA06B37" w:rsidR="00410EB2" w:rsidRPr="00410EB2" w:rsidRDefault="00410EB2" w:rsidP="004F0518">
      <w:pPr>
        <w:jc w:val="both"/>
      </w:pPr>
      <w:r w:rsidRPr="00410EB2">
        <w:t xml:space="preserve">È il classico problema del </w:t>
      </w:r>
      <w:proofErr w:type="spellStart"/>
      <w:r w:rsidRPr="00410EB2">
        <w:rPr>
          <w:b/>
          <w:bCs/>
        </w:rPr>
        <w:t>normalcy</w:t>
      </w:r>
      <w:proofErr w:type="spellEnd"/>
      <w:r w:rsidRPr="00410EB2">
        <w:rPr>
          <w:b/>
          <w:bCs/>
        </w:rPr>
        <w:t xml:space="preserve"> bias</w:t>
      </w:r>
      <w:r w:rsidR="00813C2A" w:rsidRPr="001E5597">
        <w:rPr>
          <w:rStyle w:val="Rimandonotaapidipagina"/>
        </w:rPr>
        <w:footnoteReference w:id="1"/>
      </w:r>
      <w:r w:rsidRPr="00410EB2">
        <w:t xml:space="preserve"> ma anche dell’</w:t>
      </w:r>
      <w:proofErr w:type="spellStart"/>
      <w:r w:rsidRPr="000B53C3">
        <w:rPr>
          <w:b/>
          <w:bCs/>
        </w:rPr>
        <w:t>anchoring</w:t>
      </w:r>
      <w:proofErr w:type="spellEnd"/>
      <w:r w:rsidRPr="00410EB2">
        <w:t>.</w:t>
      </w:r>
    </w:p>
    <w:p w14:paraId="71C6B380" w14:textId="58D2AB65" w:rsidR="00410EB2" w:rsidRPr="00410EB2" w:rsidRDefault="00410EB2" w:rsidP="004F0518">
      <w:pPr>
        <w:jc w:val="both"/>
      </w:pPr>
      <w:r w:rsidRPr="00410EB2">
        <w:t>Il ragionamento implicito diventa:</w:t>
      </w:r>
      <w:r w:rsidR="001E5597">
        <w:t xml:space="preserve"> </w:t>
      </w:r>
      <w:r w:rsidRPr="00410EB2">
        <w:t>«Abbiamo già visto qualcosa di simile.»</w:t>
      </w:r>
    </w:p>
    <w:p w14:paraId="4E802709" w14:textId="302A58EE" w:rsidR="00410EB2" w:rsidRPr="00410EB2" w:rsidRDefault="00410EB2" w:rsidP="004F0518">
      <w:pPr>
        <w:jc w:val="both"/>
      </w:pPr>
      <w:r w:rsidRPr="00410EB2">
        <w:lastRenderedPageBreak/>
        <w:t>Ma l’analista dovrebbe formulare una domanda differente:</w:t>
      </w:r>
      <w:r w:rsidR="001E5597">
        <w:t xml:space="preserve"> </w:t>
      </w:r>
      <w:r w:rsidRPr="00410EB2">
        <w:rPr>
          <w:b/>
          <w:bCs/>
        </w:rPr>
        <w:t>«Che cosa, questa volta, è diverso?»</w:t>
      </w:r>
    </w:p>
    <w:p w14:paraId="256671E4" w14:textId="77777777" w:rsidR="00410EB2" w:rsidRPr="00410EB2" w:rsidRDefault="00410EB2" w:rsidP="004F0518">
      <w:pPr>
        <w:jc w:val="both"/>
      </w:pPr>
      <w:r w:rsidRPr="00410EB2">
        <w:t>Nel warning intelligence questa domanda è decisiva.</w:t>
      </w:r>
    </w:p>
    <w:p w14:paraId="662C07B3" w14:textId="77777777" w:rsidR="00410EB2" w:rsidRPr="00410EB2" w:rsidRDefault="00410EB2" w:rsidP="004F0518">
      <w:pPr>
        <w:jc w:val="both"/>
      </w:pPr>
      <w:r w:rsidRPr="00410EB2">
        <w:t xml:space="preserve">Le crisi raramente arrivano prive di segnali. Più spesso emergono quando segnali apparentemente ordinari iniziano a </w:t>
      </w:r>
      <w:r w:rsidRPr="00410EB2">
        <w:rPr>
          <w:b/>
          <w:bCs/>
        </w:rPr>
        <w:t>combinarsi in una configurazione non ordinaria</w:t>
      </w:r>
      <w:r w:rsidRPr="00410EB2">
        <w:t>.</w:t>
      </w:r>
    </w:p>
    <w:p w14:paraId="5279A7AD" w14:textId="77777777" w:rsidR="00410EB2" w:rsidRPr="00410EB2" w:rsidRDefault="00410EB2" w:rsidP="00F44609">
      <w:pPr>
        <w:pStyle w:val="Titolo2"/>
        <w:spacing w:before="360"/>
      </w:pPr>
      <w:bookmarkStart w:id="7" w:name="Xef00854723b6f3e73a9093179772bed183e2924"/>
      <w:bookmarkEnd w:id="6"/>
      <w:r w:rsidRPr="00410EB2">
        <w:t>Il segnale debole non è ancora un warning</w:t>
      </w:r>
    </w:p>
    <w:p w14:paraId="202280F9" w14:textId="77777777" w:rsidR="00410EB2" w:rsidRPr="00410EB2" w:rsidRDefault="00410EB2" w:rsidP="004F0518">
      <w:pPr>
        <w:jc w:val="both"/>
      </w:pPr>
      <w:r w:rsidRPr="00410EB2">
        <w:t>Esiste tuttavia il rischio opposto.</w:t>
      </w:r>
    </w:p>
    <w:p w14:paraId="213B21C2" w14:textId="54DCD898" w:rsidR="00410EB2" w:rsidRPr="00410EB2" w:rsidRDefault="00410EB2" w:rsidP="004F0518">
      <w:pPr>
        <w:jc w:val="both"/>
      </w:pPr>
      <w:r w:rsidRPr="00410EB2">
        <w:t>Dopo che un evento si è verificato, tutto ciò che lo precedeva sembra improvvisamente evidente</w:t>
      </w:r>
      <w:r w:rsidR="00A17F96">
        <w:t xml:space="preserve"> </w:t>
      </w:r>
      <w:r w:rsidR="00061183">
        <w:t>(</w:t>
      </w:r>
      <w:r w:rsidR="00D977D7">
        <w:t xml:space="preserve">bias del senno di poi </w:t>
      </w:r>
      <w:r w:rsidR="00061183">
        <w:t xml:space="preserve">- </w:t>
      </w:r>
      <w:proofErr w:type="spellStart"/>
      <w:r w:rsidRPr="00D977D7">
        <w:t>hindsight</w:t>
      </w:r>
      <w:proofErr w:type="spellEnd"/>
      <w:r w:rsidRPr="00D977D7">
        <w:t xml:space="preserve"> bias</w:t>
      </w:r>
      <w:r w:rsidR="00D977D7" w:rsidRPr="00D977D7">
        <w:t>)</w:t>
      </w:r>
      <w:r w:rsidRPr="00D977D7">
        <w:t>.</w:t>
      </w:r>
    </w:p>
    <w:p w14:paraId="0E5C8EAA" w14:textId="48A2B13E" w:rsidR="00410EB2" w:rsidRPr="00410EB2" w:rsidRDefault="00410EB2" w:rsidP="004F0518">
      <w:pPr>
        <w:jc w:val="both"/>
      </w:pPr>
      <w:r w:rsidRPr="00410EB2">
        <w:t>Guardando oggi i messaggi del 29 luglio è facile considerarli precursori inequivocabili di ciò che sarebbe accaduto il giorno successivo.</w:t>
      </w:r>
      <w:r w:rsidR="00054309">
        <w:t xml:space="preserve"> </w:t>
      </w:r>
      <w:r w:rsidRPr="00410EB2">
        <w:t>Ma l’analista non lavora con il senno di poi.</w:t>
      </w:r>
    </w:p>
    <w:p w14:paraId="0FD9C5EF" w14:textId="77777777" w:rsidR="00410EB2" w:rsidRPr="00410EB2" w:rsidRDefault="00410EB2" w:rsidP="004F0518">
      <w:pPr>
        <w:jc w:val="both"/>
      </w:pPr>
      <w:r w:rsidRPr="00410EB2">
        <w:t xml:space="preserve">Lavora nel </w:t>
      </w:r>
      <w:r w:rsidRPr="00410EB2">
        <w:rPr>
          <w:b/>
          <w:bCs/>
        </w:rPr>
        <w:t>tempo t₀</w:t>
      </w:r>
      <w:r w:rsidRPr="00410EB2">
        <w:t>, quando il futuro non è ancora conosciuto e gli indicatori competono con centinaia di altri segnali.</w:t>
      </w:r>
    </w:p>
    <w:p w14:paraId="308B21D0" w14:textId="77777777" w:rsidR="00410EB2" w:rsidRPr="00410EB2" w:rsidRDefault="00410EB2" w:rsidP="004F0518">
      <w:pPr>
        <w:jc w:val="both"/>
      </w:pPr>
      <w:r w:rsidRPr="00410EB2">
        <w:t xml:space="preserve">Per valutare correttamente un eventuale intelligence </w:t>
      </w:r>
      <w:proofErr w:type="spellStart"/>
      <w:r w:rsidRPr="00410EB2">
        <w:t>failure</w:t>
      </w:r>
      <w:proofErr w:type="spellEnd"/>
      <w:r w:rsidRPr="00410EB2">
        <w:t xml:space="preserve"> occorre quindi ricostruire ciò che era conoscibile </w:t>
      </w:r>
      <w:r w:rsidRPr="00410EB2">
        <w:rPr>
          <w:b/>
          <w:bCs/>
        </w:rPr>
        <w:t>ex ante</w:t>
      </w:r>
      <w:r w:rsidRPr="00410EB2">
        <w:t xml:space="preserve">, non ciò che appare evidente </w:t>
      </w:r>
      <w:r w:rsidRPr="00410EB2">
        <w:rPr>
          <w:b/>
          <w:bCs/>
        </w:rPr>
        <w:t>ex post</w:t>
      </w:r>
      <w:r w:rsidRPr="00410EB2">
        <w:t>.</w:t>
      </w:r>
    </w:p>
    <w:p w14:paraId="127F2C43" w14:textId="29C5D28A" w:rsidR="00410EB2" w:rsidRPr="00410EB2" w:rsidRDefault="00410EB2" w:rsidP="004F0518">
      <w:pPr>
        <w:jc w:val="both"/>
      </w:pPr>
      <w:r w:rsidRPr="00410EB2">
        <w:t>È la differenza tra:</w:t>
      </w:r>
      <w:r w:rsidR="00054309">
        <w:t xml:space="preserve"> </w:t>
      </w:r>
      <w:r w:rsidRPr="00410EB2">
        <w:rPr>
          <w:b/>
          <w:bCs/>
        </w:rPr>
        <w:t>«C’erano segnali?»</w:t>
      </w:r>
      <w:r w:rsidR="00054309">
        <w:rPr>
          <w:b/>
          <w:bCs/>
        </w:rPr>
        <w:t xml:space="preserve"> </w:t>
      </w:r>
      <w:r w:rsidRPr="00410EB2">
        <w:t>e</w:t>
      </w:r>
      <w:r w:rsidR="00054309">
        <w:t xml:space="preserve"> </w:t>
      </w:r>
      <w:r w:rsidRPr="00410EB2">
        <w:rPr>
          <w:b/>
          <w:bCs/>
        </w:rPr>
        <w:t>«I segnali disponibili in quel momento erano sufficientemente diagnostici da giustificare una revisione sostanziale della valutazione?»</w:t>
      </w:r>
    </w:p>
    <w:p w14:paraId="33D1BE8A" w14:textId="77777777" w:rsidR="00410EB2" w:rsidRPr="00410EB2" w:rsidRDefault="00410EB2" w:rsidP="004F0518">
      <w:pPr>
        <w:jc w:val="both"/>
      </w:pPr>
      <w:r w:rsidRPr="00410EB2">
        <w:t>Sono due domande completamente diverse.</w:t>
      </w:r>
    </w:p>
    <w:p w14:paraId="36F1CE16" w14:textId="77777777" w:rsidR="00410EB2" w:rsidRPr="00410EB2" w:rsidRDefault="00410EB2" w:rsidP="00F44609">
      <w:pPr>
        <w:pStyle w:val="Titolo2"/>
        <w:spacing w:before="360"/>
      </w:pPr>
      <w:bookmarkStart w:id="8" w:name="X168ec794cdb6dea0025d311a9dfff815b5592c4"/>
      <w:bookmarkEnd w:id="7"/>
      <w:r w:rsidRPr="00410EB2">
        <w:t>Cassandra non riguarda soltanto l’analista</w:t>
      </w:r>
    </w:p>
    <w:p w14:paraId="2C851993" w14:textId="0DA94F75" w:rsidR="00410EB2" w:rsidRPr="00410EB2" w:rsidRDefault="00410EB2" w:rsidP="004F0518">
      <w:pPr>
        <w:jc w:val="both"/>
      </w:pPr>
      <w:r w:rsidRPr="00410EB2">
        <w:t>C’è poi un secondo equivoco da evitare.</w:t>
      </w:r>
      <w:r w:rsidR="00054309">
        <w:t xml:space="preserve"> </w:t>
      </w:r>
      <w:r w:rsidRPr="00410EB2">
        <w:t>La sindrome di Cassandra viene spesso rappresentata come il problema dell’analista che aveva ragione ma non fu ascoltato.</w:t>
      </w:r>
    </w:p>
    <w:p w14:paraId="09644C7E" w14:textId="6CED0165" w:rsidR="00410EB2" w:rsidRPr="00410EB2" w:rsidRDefault="00410EB2" w:rsidP="004F0518">
      <w:pPr>
        <w:jc w:val="both"/>
      </w:pPr>
      <w:r w:rsidRPr="00410EB2">
        <w:t>Nella realtà organizzativa il processo è molto più complesso.</w:t>
      </w:r>
      <w:r w:rsidR="00054309">
        <w:t xml:space="preserve"> </w:t>
      </w:r>
      <w:r w:rsidRPr="00410EB2">
        <w:t>Tra informazione e azione esistono diversi passaggi:</w:t>
      </w:r>
      <w:r w:rsidR="00054309">
        <w:t xml:space="preserve"> </w:t>
      </w:r>
      <w:r w:rsidRPr="00410EB2">
        <w:rPr>
          <w:b/>
          <w:bCs/>
        </w:rPr>
        <w:t>raccolta → analisi → valutazione → comunicazione → ricezione → comprensione → decisione → risposta.</w:t>
      </w:r>
    </w:p>
    <w:p w14:paraId="67D72689" w14:textId="77777777" w:rsidR="00410EB2" w:rsidRPr="00410EB2" w:rsidRDefault="00410EB2" w:rsidP="004F0518">
      <w:pPr>
        <w:jc w:val="both"/>
      </w:pPr>
      <w:r w:rsidRPr="00410EB2">
        <w:t>Il fallimento può verificarsi in ciascuno di essi.</w:t>
      </w:r>
    </w:p>
    <w:p w14:paraId="43EE3F69" w14:textId="77777777" w:rsidR="00410EB2" w:rsidRPr="00410EB2" w:rsidRDefault="00410EB2" w:rsidP="004F0518">
      <w:pPr>
        <w:jc w:val="both"/>
      </w:pPr>
      <w:r w:rsidRPr="00410EB2">
        <w:t xml:space="preserve">La letteratura più recente sullo </w:t>
      </w:r>
      <w:proofErr w:type="spellStart"/>
      <w:r w:rsidRPr="00410EB2">
        <w:rPr>
          <w:i/>
          <w:iCs/>
        </w:rPr>
        <w:t>strategic</w:t>
      </w:r>
      <w:proofErr w:type="spellEnd"/>
      <w:r w:rsidRPr="00410EB2">
        <w:rPr>
          <w:i/>
          <w:iCs/>
        </w:rPr>
        <w:t xml:space="preserve"> warning</w:t>
      </w:r>
      <w:r w:rsidRPr="00410EB2">
        <w:t xml:space="preserve"> suggerisce infatti di superare la semplice dicotomia </w:t>
      </w:r>
      <w:r w:rsidRPr="00410EB2">
        <w:rPr>
          <w:b/>
          <w:bCs/>
        </w:rPr>
        <w:t xml:space="preserve">warning success / warning </w:t>
      </w:r>
      <w:proofErr w:type="spellStart"/>
      <w:r w:rsidRPr="00410EB2">
        <w:rPr>
          <w:b/>
          <w:bCs/>
        </w:rPr>
        <w:t>failure</w:t>
      </w:r>
      <w:proofErr w:type="spellEnd"/>
      <w:r w:rsidRPr="00410EB2">
        <w:t xml:space="preserve"> e di valutare separatamente almeno tre dimensioni: qualità analitica del warning, efficacia del processo attraverso il quale viene comunicato e risposta politica del decisore.</w:t>
      </w:r>
    </w:p>
    <w:p w14:paraId="26036E0C" w14:textId="77777777" w:rsidR="00410EB2" w:rsidRPr="00410EB2" w:rsidRDefault="00410EB2" w:rsidP="004F0518">
      <w:pPr>
        <w:jc w:val="both"/>
      </w:pPr>
      <w:r w:rsidRPr="00410EB2">
        <w:t>È un’impostazione particolarmente utile per Ceuta.</w:t>
      </w:r>
    </w:p>
    <w:p w14:paraId="0ABC32B3" w14:textId="26ED5D32" w:rsidR="00410EB2" w:rsidRPr="00410EB2" w:rsidRDefault="00410EB2" w:rsidP="004F0518">
      <w:pPr>
        <w:jc w:val="both"/>
      </w:pPr>
      <w:r w:rsidRPr="00410EB2">
        <w:t>La domanda non dovrebbe quindi essere soltanto:</w:t>
      </w:r>
      <w:r w:rsidR="005131A5">
        <w:t xml:space="preserve"> </w:t>
      </w:r>
      <w:r w:rsidRPr="00410EB2">
        <w:rPr>
          <w:b/>
          <w:bCs/>
        </w:rPr>
        <w:t>«Il CNI aveva avvertito?»</w:t>
      </w:r>
    </w:p>
    <w:p w14:paraId="70F1BAFE" w14:textId="7B1D1DB4" w:rsidR="00410EB2" w:rsidRPr="00410EB2" w:rsidRDefault="00410EB2" w:rsidP="004F0518">
      <w:pPr>
        <w:jc w:val="both"/>
      </w:pPr>
      <w:r w:rsidRPr="00410EB2">
        <w:t>Dovremmo porne almeno altre quattro:</w:t>
      </w:r>
      <w:r w:rsidR="005131A5">
        <w:t xml:space="preserve"> </w:t>
      </w:r>
    </w:p>
    <w:p w14:paraId="049F846F" w14:textId="77777777" w:rsidR="00410EB2" w:rsidRPr="00410EB2" w:rsidRDefault="00410EB2" w:rsidP="001B7E2D">
      <w:pPr>
        <w:pStyle w:val="Paragrafoelenco"/>
        <w:numPr>
          <w:ilvl w:val="0"/>
          <w:numId w:val="29"/>
        </w:numPr>
        <w:jc w:val="both"/>
      </w:pPr>
      <w:r w:rsidRPr="001B7E2D">
        <w:rPr>
          <w:b/>
          <w:bCs/>
        </w:rPr>
        <w:lastRenderedPageBreak/>
        <w:t>Che cosa aveva effettivamente previsto?</w:t>
      </w:r>
    </w:p>
    <w:p w14:paraId="76A84800" w14:textId="77777777" w:rsidR="00410EB2" w:rsidRPr="00410EB2" w:rsidRDefault="00410EB2" w:rsidP="001B7E2D">
      <w:pPr>
        <w:pStyle w:val="Paragrafoelenco"/>
        <w:numPr>
          <w:ilvl w:val="0"/>
          <w:numId w:val="29"/>
        </w:numPr>
        <w:jc w:val="both"/>
      </w:pPr>
      <w:r w:rsidRPr="001B7E2D">
        <w:rPr>
          <w:b/>
          <w:bCs/>
        </w:rPr>
        <w:t>Con quale livello di confidenza?</w:t>
      </w:r>
    </w:p>
    <w:p w14:paraId="30DF1240" w14:textId="77777777" w:rsidR="00410EB2" w:rsidRPr="00410EB2" w:rsidRDefault="00410EB2" w:rsidP="001B7E2D">
      <w:pPr>
        <w:pStyle w:val="Paragrafoelenco"/>
        <w:numPr>
          <w:ilvl w:val="0"/>
          <w:numId w:val="29"/>
        </w:numPr>
        <w:jc w:val="both"/>
      </w:pPr>
      <w:r w:rsidRPr="001B7E2D">
        <w:rPr>
          <w:b/>
          <w:bCs/>
        </w:rPr>
        <w:t>A chi era stato comunicato?</w:t>
      </w:r>
    </w:p>
    <w:p w14:paraId="78CBEA9A" w14:textId="77777777" w:rsidR="00410EB2" w:rsidRPr="00410EB2" w:rsidRDefault="00410EB2" w:rsidP="001B7E2D">
      <w:pPr>
        <w:pStyle w:val="Paragrafoelenco"/>
        <w:numPr>
          <w:ilvl w:val="0"/>
          <w:numId w:val="29"/>
        </w:numPr>
        <w:jc w:val="both"/>
      </w:pPr>
      <w:r w:rsidRPr="001B7E2D">
        <w:rPr>
          <w:b/>
          <w:bCs/>
        </w:rPr>
        <w:t>Quale cambiamento decisionale avrebbe dovuto produrre quel warning?</w:t>
      </w:r>
    </w:p>
    <w:p w14:paraId="41F40F7B" w14:textId="77777777" w:rsidR="00410EB2" w:rsidRPr="00410EB2" w:rsidRDefault="00410EB2" w:rsidP="004F0518">
      <w:pPr>
        <w:jc w:val="both"/>
      </w:pPr>
      <w:r w:rsidRPr="00410EB2">
        <w:t xml:space="preserve">Solo rispondendo a queste domande sarà possibile distinguere un problema di </w:t>
      </w:r>
      <w:proofErr w:type="spellStart"/>
      <w:r w:rsidRPr="00410EB2">
        <w:rPr>
          <w:b/>
          <w:bCs/>
        </w:rPr>
        <w:t>collection</w:t>
      </w:r>
      <w:proofErr w:type="spellEnd"/>
      <w:r w:rsidRPr="00410EB2">
        <w:t xml:space="preserve">, di </w:t>
      </w:r>
      <w:proofErr w:type="spellStart"/>
      <w:r w:rsidRPr="00410EB2">
        <w:rPr>
          <w:b/>
          <w:bCs/>
        </w:rPr>
        <w:t>analysis</w:t>
      </w:r>
      <w:proofErr w:type="spellEnd"/>
      <w:r w:rsidRPr="00410EB2">
        <w:t xml:space="preserve">, di </w:t>
      </w:r>
      <w:r w:rsidRPr="00410EB2">
        <w:rPr>
          <w:b/>
          <w:bCs/>
        </w:rPr>
        <w:t>warning</w:t>
      </w:r>
      <w:r w:rsidRPr="00410EB2">
        <w:t xml:space="preserve">, di </w:t>
      </w:r>
      <w:proofErr w:type="spellStart"/>
      <w:r w:rsidRPr="00410EB2">
        <w:rPr>
          <w:b/>
          <w:bCs/>
        </w:rPr>
        <w:t>dissemination</w:t>
      </w:r>
      <w:proofErr w:type="spellEnd"/>
      <w:r w:rsidRPr="00410EB2">
        <w:t xml:space="preserve"> oppure di </w:t>
      </w:r>
      <w:r w:rsidRPr="00410EB2">
        <w:rPr>
          <w:b/>
          <w:bCs/>
        </w:rPr>
        <w:t>decision-making</w:t>
      </w:r>
      <w:r w:rsidRPr="00410EB2">
        <w:t>.</w:t>
      </w:r>
    </w:p>
    <w:bookmarkEnd w:id="8"/>
    <w:p w14:paraId="40B8EE2F" w14:textId="77777777" w:rsidR="00410EB2" w:rsidRPr="00410EB2" w:rsidRDefault="00410EB2" w:rsidP="00F44609">
      <w:pPr>
        <w:pStyle w:val="Titolo2"/>
        <w:spacing w:before="360"/>
      </w:pPr>
      <w:r w:rsidRPr="00410EB2">
        <w:t>Il vero problema: la soglia di allarme</w:t>
      </w:r>
    </w:p>
    <w:p w14:paraId="4DF16E49" w14:textId="36CCBAFF" w:rsidR="00410EB2" w:rsidRPr="00410EB2" w:rsidRDefault="00410EB2" w:rsidP="004F0518">
      <w:pPr>
        <w:jc w:val="both"/>
      </w:pPr>
      <w:r w:rsidRPr="00410EB2">
        <w:t>Alla base rimane un problema strutturale dell’intelligence.</w:t>
      </w:r>
      <w:r w:rsidR="0010676A">
        <w:t xml:space="preserve"> </w:t>
      </w:r>
      <w:r w:rsidRPr="00410EB2">
        <w:rPr>
          <w:b/>
          <w:bCs/>
        </w:rPr>
        <w:t>Quando bisogna lanciare l’allarme?</w:t>
      </w:r>
    </w:p>
    <w:p w14:paraId="4220CA40" w14:textId="77777777" w:rsidR="00410EB2" w:rsidRPr="00410EB2" w:rsidRDefault="00410EB2" w:rsidP="004F0518">
      <w:pPr>
        <w:jc w:val="both"/>
      </w:pPr>
      <w:r w:rsidRPr="00410EB2">
        <w:t>Se la soglia è troppo bassa, l’organizzazione produce continuamente warning.</w:t>
      </w:r>
    </w:p>
    <w:p w14:paraId="7EFBCA05" w14:textId="77777777" w:rsidR="00410EB2" w:rsidRPr="00410EB2" w:rsidRDefault="00410EB2" w:rsidP="004F0518">
      <w:pPr>
        <w:jc w:val="both"/>
      </w:pPr>
      <w:r w:rsidRPr="00410EB2">
        <w:t xml:space="preserve">Il risultato è </w:t>
      </w:r>
      <w:proofErr w:type="gramStart"/>
      <w:r w:rsidRPr="00410EB2">
        <w:t xml:space="preserve">la </w:t>
      </w:r>
      <w:r w:rsidRPr="00410EB2">
        <w:rPr>
          <w:i/>
          <w:iCs/>
        </w:rPr>
        <w:t>warning</w:t>
      </w:r>
      <w:proofErr w:type="gramEnd"/>
      <w:r w:rsidRPr="00410EB2">
        <w:rPr>
          <w:i/>
          <w:iCs/>
        </w:rPr>
        <w:t xml:space="preserve"> fatigue</w:t>
      </w:r>
      <w:r w:rsidRPr="00410EB2">
        <w:t>: troppi allarmi riducono progressivamente l’attenzione del decisore.</w:t>
      </w:r>
    </w:p>
    <w:p w14:paraId="1C821AAE" w14:textId="77777777" w:rsidR="00410EB2" w:rsidRPr="00410EB2" w:rsidRDefault="00410EB2" w:rsidP="004F0518">
      <w:pPr>
        <w:jc w:val="both"/>
      </w:pPr>
      <w:r w:rsidRPr="00410EB2">
        <w:t>Se la soglia è troppo alta, invece, l’organizzazione aspetta evidenze sempre più robuste.</w:t>
      </w:r>
    </w:p>
    <w:p w14:paraId="4646383D" w14:textId="77777777" w:rsidR="00410EB2" w:rsidRPr="00410EB2" w:rsidRDefault="00410EB2" w:rsidP="004F0518">
      <w:pPr>
        <w:jc w:val="both"/>
      </w:pPr>
      <w:r w:rsidRPr="00410EB2">
        <w:t>Ma quando l’evidenza diventa inequivocabile potrebbe essere ormai troppo tardi per intervenire.</w:t>
      </w:r>
    </w:p>
    <w:p w14:paraId="0EE84A63" w14:textId="77777777" w:rsidR="00410EB2" w:rsidRPr="00410EB2" w:rsidRDefault="00410EB2" w:rsidP="004F0518">
      <w:pPr>
        <w:jc w:val="both"/>
      </w:pPr>
      <w:r w:rsidRPr="00410EB2">
        <w:t>Possiamo rappresentare il dilemma in questo modo:</w:t>
      </w:r>
    </w:p>
    <w:p w14:paraId="007A83B9" w14:textId="77777777" w:rsidR="00410EB2" w:rsidRPr="00410EB2" w:rsidRDefault="00410EB2" w:rsidP="004F0518">
      <w:pPr>
        <w:jc w:val="both"/>
      </w:pPr>
      <w:r w:rsidRPr="00410EB2">
        <w:rPr>
          <w:b/>
          <w:bCs/>
        </w:rPr>
        <w:t>soglia troppo bassa → falsi positivi → perdita di credibilità</w:t>
      </w:r>
    </w:p>
    <w:p w14:paraId="771BF5D1" w14:textId="77777777" w:rsidR="00410EB2" w:rsidRPr="00410EB2" w:rsidRDefault="00410EB2" w:rsidP="004F0518">
      <w:pPr>
        <w:jc w:val="both"/>
      </w:pPr>
      <w:r w:rsidRPr="00410EB2">
        <w:rPr>
          <w:b/>
          <w:bCs/>
        </w:rPr>
        <w:t>soglia troppo alta → falsi negativi → sorpresa strategica</w:t>
      </w:r>
    </w:p>
    <w:p w14:paraId="06B25A2D" w14:textId="77777777" w:rsidR="00410EB2" w:rsidRPr="00410EB2" w:rsidRDefault="00410EB2" w:rsidP="004F0518">
      <w:pPr>
        <w:jc w:val="both"/>
      </w:pPr>
      <w:r w:rsidRPr="00410EB2">
        <w:t>L’intelligence warning vive permanentemente dentro questo trade-off.</w:t>
      </w:r>
    </w:p>
    <w:p w14:paraId="033A2A1F" w14:textId="77777777" w:rsidR="00410EB2" w:rsidRPr="00410EB2" w:rsidRDefault="00410EB2" w:rsidP="004F0518">
      <w:pPr>
        <w:jc w:val="both"/>
      </w:pPr>
      <w:r w:rsidRPr="00410EB2">
        <w:t>Cassandra, in fondo, abita proprio qui.</w:t>
      </w:r>
    </w:p>
    <w:p w14:paraId="5375335C" w14:textId="77777777" w:rsidR="00410EB2" w:rsidRPr="00410EB2" w:rsidRDefault="00410EB2" w:rsidP="00F44609">
      <w:pPr>
        <w:pStyle w:val="Titolo2"/>
        <w:spacing w:before="360"/>
      </w:pPr>
      <w:bookmarkStart w:id="9" w:name="il-vero-problema-la-soglia-di-allarme"/>
      <w:bookmarkEnd w:id="9"/>
      <w:r w:rsidRPr="00410EB2">
        <w:t>Da Cassandra agli indicatori</w:t>
      </w:r>
    </w:p>
    <w:p w14:paraId="78E703EA" w14:textId="5F196DEF" w:rsidR="00410EB2" w:rsidRPr="00410EB2" w:rsidRDefault="00410EB2" w:rsidP="004F0518">
      <w:pPr>
        <w:jc w:val="both"/>
      </w:pPr>
      <w:r w:rsidRPr="00410EB2">
        <w:t>La risposta metodologica non consiste nel pretendere previsioni perfette.</w:t>
      </w:r>
      <w:r w:rsidR="004A6AC1">
        <w:t xml:space="preserve"> </w:t>
      </w:r>
      <w:r w:rsidRPr="00410EB2">
        <w:t>L’intelligence non è profezia.</w:t>
      </w:r>
      <w:r w:rsidR="006F16FC">
        <w:t xml:space="preserve"> </w:t>
      </w:r>
      <w:r w:rsidRPr="00410EB2">
        <w:t xml:space="preserve">Consiste piuttosto nel costruire </w:t>
      </w:r>
      <w:r w:rsidRPr="00410EB2">
        <w:rPr>
          <w:b/>
          <w:bCs/>
        </w:rPr>
        <w:t>sistemi di warning espliciti, verificabili e aggiornabili</w:t>
      </w:r>
      <w:r w:rsidRPr="00410EB2">
        <w:t>.</w:t>
      </w:r>
    </w:p>
    <w:p w14:paraId="518E3314" w14:textId="77777777" w:rsidR="00410EB2" w:rsidRPr="00410EB2" w:rsidRDefault="00410EB2" w:rsidP="004F0518">
      <w:pPr>
        <w:jc w:val="both"/>
      </w:pPr>
      <w:r w:rsidRPr="00410EB2">
        <w:t>Per ogni scenario rilevante dovrebbero essere definiti anticipatamente:</w:t>
      </w:r>
    </w:p>
    <w:p w14:paraId="574A559D" w14:textId="77777777" w:rsidR="00410EB2" w:rsidRPr="006F16FC" w:rsidRDefault="00410EB2" w:rsidP="004F0518">
      <w:pPr>
        <w:numPr>
          <w:ilvl w:val="0"/>
          <w:numId w:val="28"/>
        </w:numPr>
        <w:jc w:val="both"/>
      </w:pPr>
      <w:r w:rsidRPr="006F16FC">
        <w:t>indicatori osservabili;</w:t>
      </w:r>
    </w:p>
    <w:p w14:paraId="59C34F96" w14:textId="77777777" w:rsidR="00410EB2" w:rsidRPr="006F16FC" w:rsidRDefault="00410EB2" w:rsidP="004F0518">
      <w:pPr>
        <w:numPr>
          <w:ilvl w:val="0"/>
          <w:numId w:val="28"/>
        </w:numPr>
        <w:jc w:val="both"/>
      </w:pPr>
      <w:r w:rsidRPr="006F16FC">
        <w:t>soglie quantitative o qualitative;</w:t>
      </w:r>
    </w:p>
    <w:p w14:paraId="34D10862" w14:textId="77777777" w:rsidR="00410EB2" w:rsidRPr="006F16FC" w:rsidRDefault="00410EB2" w:rsidP="004F0518">
      <w:pPr>
        <w:numPr>
          <w:ilvl w:val="0"/>
          <w:numId w:val="28"/>
        </w:numPr>
        <w:jc w:val="both"/>
      </w:pPr>
      <w:r w:rsidRPr="006F16FC">
        <w:t>fonti attraverso cui verificarli;</w:t>
      </w:r>
    </w:p>
    <w:p w14:paraId="523B57BD" w14:textId="77777777" w:rsidR="00410EB2" w:rsidRPr="006F16FC" w:rsidRDefault="00410EB2" w:rsidP="004F0518">
      <w:pPr>
        <w:numPr>
          <w:ilvl w:val="0"/>
          <w:numId w:val="28"/>
        </w:numPr>
        <w:jc w:val="both"/>
      </w:pPr>
      <w:r w:rsidRPr="006F16FC">
        <w:t>frequenza di monitoraggio;</w:t>
      </w:r>
    </w:p>
    <w:p w14:paraId="49A1DA15" w14:textId="77777777" w:rsidR="00410EB2" w:rsidRPr="006F16FC" w:rsidRDefault="00410EB2" w:rsidP="004F0518">
      <w:pPr>
        <w:numPr>
          <w:ilvl w:val="0"/>
          <w:numId w:val="28"/>
        </w:numPr>
        <w:jc w:val="both"/>
      </w:pPr>
      <w:r w:rsidRPr="006F16FC">
        <w:t>possibili falsi positivi;</w:t>
      </w:r>
    </w:p>
    <w:p w14:paraId="61382B19" w14:textId="77777777" w:rsidR="00410EB2" w:rsidRPr="006F16FC" w:rsidRDefault="00410EB2" w:rsidP="004F0518">
      <w:pPr>
        <w:numPr>
          <w:ilvl w:val="0"/>
          <w:numId w:val="28"/>
        </w:numPr>
        <w:jc w:val="both"/>
      </w:pPr>
      <w:r w:rsidRPr="006F16FC">
        <w:lastRenderedPageBreak/>
        <w:t>livello di rischio associato;</w:t>
      </w:r>
    </w:p>
    <w:p w14:paraId="42DA4542" w14:textId="77777777" w:rsidR="00410EB2" w:rsidRPr="00410EB2" w:rsidRDefault="00410EB2" w:rsidP="004F0518">
      <w:pPr>
        <w:numPr>
          <w:ilvl w:val="0"/>
          <w:numId w:val="28"/>
        </w:numPr>
        <w:jc w:val="both"/>
      </w:pPr>
      <w:r w:rsidRPr="00410EB2">
        <w:t>azione da intraprendere al superamento della soglia.</w:t>
      </w:r>
    </w:p>
    <w:p w14:paraId="707D51B5" w14:textId="70E83C90" w:rsidR="00410EB2" w:rsidRPr="00410EB2" w:rsidRDefault="00410EB2" w:rsidP="004F0518">
      <w:pPr>
        <w:jc w:val="both"/>
      </w:pPr>
      <w:r w:rsidRPr="00410EB2">
        <w:t>In questo modo il warning non dipende soltanto dall’intuizione dell’analista.</w:t>
      </w:r>
      <w:r w:rsidR="008A600D">
        <w:t xml:space="preserve"> </w:t>
      </w:r>
      <w:r w:rsidRPr="00410EB2">
        <w:t xml:space="preserve">Diventa parte di un </w:t>
      </w:r>
      <w:r w:rsidRPr="00410EB2">
        <w:rPr>
          <w:b/>
          <w:bCs/>
        </w:rPr>
        <w:t>framework analitico strutturato</w:t>
      </w:r>
      <w:r w:rsidRPr="00410EB2">
        <w:t>.</w:t>
      </w:r>
    </w:p>
    <w:p w14:paraId="12B4774E" w14:textId="77777777" w:rsidR="00410EB2" w:rsidRPr="00410EB2" w:rsidRDefault="00410EB2" w:rsidP="004F0518">
      <w:pPr>
        <w:jc w:val="both"/>
      </w:pPr>
      <w:r w:rsidRPr="00410EB2">
        <w:t xml:space="preserve">Ed è proprio qui che le </w:t>
      </w:r>
      <w:proofErr w:type="spellStart"/>
      <w:r w:rsidRPr="00410EB2">
        <w:t>Structured</w:t>
      </w:r>
      <w:proofErr w:type="spellEnd"/>
      <w:r w:rsidRPr="00410EB2">
        <w:t xml:space="preserve"> </w:t>
      </w:r>
      <w:proofErr w:type="spellStart"/>
      <w:r w:rsidRPr="00410EB2">
        <w:t>Analytic</w:t>
      </w:r>
      <w:proofErr w:type="spellEnd"/>
      <w:r w:rsidRPr="00410EB2">
        <w:t xml:space="preserve"> Techniques possono offrire un contributo importante: </w:t>
      </w:r>
      <w:proofErr w:type="spellStart"/>
      <w:r w:rsidRPr="00410EB2">
        <w:t>Indicator</w:t>
      </w:r>
      <w:proofErr w:type="spellEnd"/>
      <w:r w:rsidRPr="00410EB2">
        <w:t xml:space="preserve"> Analysis, Analysis of </w:t>
      </w:r>
      <w:proofErr w:type="spellStart"/>
      <w:r w:rsidRPr="00410EB2">
        <w:t>Competing</w:t>
      </w:r>
      <w:proofErr w:type="spellEnd"/>
      <w:r w:rsidRPr="00410EB2">
        <w:t xml:space="preserve"> </w:t>
      </w:r>
      <w:proofErr w:type="spellStart"/>
      <w:r w:rsidRPr="00410EB2">
        <w:t>Hypotheses</w:t>
      </w:r>
      <w:proofErr w:type="spellEnd"/>
      <w:r w:rsidRPr="00410EB2">
        <w:t xml:space="preserve">, </w:t>
      </w:r>
      <w:proofErr w:type="spellStart"/>
      <w:r w:rsidRPr="00410EB2">
        <w:t>What</w:t>
      </w:r>
      <w:proofErr w:type="spellEnd"/>
      <w:r w:rsidRPr="00410EB2">
        <w:t xml:space="preserve"> </w:t>
      </w:r>
      <w:proofErr w:type="spellStart"/>
      <w:r w:rsidRPr="00410EB2">
        <w:t>If</w:t>
      </w:r>
      <w:proofErr w:type="spellEnd"/>
      <w:r w:rsidRPr="00410EB2">
        <w:t xml:space="preserve">? Analysis, </w:t>
      </w:r>
      <w:proofErr w:type="spellStart"/>
      <w:r w:rsidRPr="00410EB2">
        <w:t>Devil’s</w:t>
      </w:r>
      <w:proofErr w:type="spellEnd"/>
      <w:r w:rsidRPr="00410EB2">
        <w:t xml:space="preserve"> Advocacy, scenario </w:t>
      </w:r>
      <w:proofErr w:type="spellStart"/>
      <w:r w:rsidRPr="00410EB2">
        <w:t>analysis</w:t>
      </w:r>
      <w:proofErr w:type="spellEnd"/>
      <w:r w:rsidRPr="00410EB2">
        <w:t xml:space="preserve"> e aggiornamento </w:t>
      </w:r>
      <w:proofErr w:type="spellStart"/>
      <w:r w:rsidRPr="00410EB2">
        <w:t>bayesiano</w:t>
      </w:r>
      <w:proofErr w:type="spellEnd"/>
      <w:r w:rsidRPr="00410EB2">
        <w:t xml:space="preserve"> non eliminano l’incertezza, ma costringono l’analista a rendere esplicito il proprio ragionamento.</w:t>
      </w:r>
    </w:p>
    <w:p w14:paraId="47FB4F94" w14:textId="0D74814B" w:rsidR="00410EB2" w:rsidRPr="00410EB2" w:rsidRDefault="00410EB2" w:rsidP="004F0518">
      <w:pPr>
        <w:jc w:val="both"/>
      </w:pPr>
      <w:r w:rsidRPr="00410EB2">
        <w:t>Soprattutto, permettono di formulare una domanda fondamentale:</w:t>
      </w:r>
      <w:r w:rsidR="008A600D">
        <w:t xml:space="preserve"> </w:t>
      </w:r>
      <w:r w:rsidRPr="00410EB2">
        <w:rPr>
          <w:b/>
          <w:bCs/>
        </w:rPr>
        <w:t>Quale evidenza, se comparisse domani, dovrebbe convincermi che il mio modello attuale della situazione non è più valido?</w:t>
      </w:r>
    </w:p>
    <w:p w14:paraId="0F28AD92" w14:textId="77777777" w:rsidR="00410EB2" w:rsidRPr="00410EB2" w:rsidRDefault="00410EB2" w:rsidP="004F0518">
      <w:pPr>
        <w:jc w:val="both"/>
      </w:pPr>
      <w:r w:rsidRPr="00410EB2">
        <w:t>Questa è forse una delle migliori difese contro Cassandra.</w:t>
      </w:r>
    </w:p>
    <w:p w14:paraId="1B5C869A" w14:textId="77777777" w:rsidR="00410EB2" w:rsidRPr="00410EB2" w:rsidRDefault="00410EB2" w:rsidP="00F44609">
      <w:pPr>
        <w:pStyle w:val="Titolo2"/>
        <w:spacing w:before="360"/>
      </w:pPr>
      <w:bookmarkStart w:id="10" w:name="da-cassandra-agli-indicatori"/>
      <w:bookmarkEnd w:id="10"/>
      <w:r w:rsidRPr="00410EB2">
        <w:t>La lezione di Ceuta</w:t>
      </w:r>
    </w:p>
    <w:p w14:paraId="45B5C880" w14:textId="60D8B8E0" w:rsidR="00410EB2" w:rsidRPr="00410EB2" w:rsidRDefault="00410EB2" w:rsidP="004F0518">
      <w:pPr>
        <w:jc w:val="both"/>
      </w:pPr>
      <w:r w:rsidRPr="00410EB2">
        <w:t xml:space="preserve">È </w:t>
      </w:r>
      <w:r w:rsidR="00281D3E">
        <w:t xml:space="preserve">comunque </w:t>
      </w:r>
      <w:r w:rsidRPr="00410EB2">
        <w:t xml:space="preserve">ancora prematuro stabilire se Ceuta rappresenti un vero e proprio </w:t>
      </w:r>
      <w:r w:rsidRPr="00410EB2">
        <w:rPr>
          <w:i/>
          <w:iCs/>
        </w:rPr>
        <w:t xml:space="preserve">intelligence </w:t>
      </w:r>
      <w:proofErr w:type="spellStart"/>
      <w:r w:rsidRPr="00410EB2">
        <w:rPr>
          <w:i/>
          <w:iCs/>
        </w:rPr>
        <w:t>failure</w:t>
      </w:r>
      <w:proofErr w:type="spellEnd"/>
      <w:r w:rsidRPr="00410EB2">
        <w:t>.</w:t>
      </w:r>
      <w:r w:rsidR="00281D3E">
        <w:t xml:space="preserve"> </w:t>
      </w:r>
      <w:r w:rsidRPr="00410EB2">
        <w:t>La documentazione resa disponibile il 9 settembre mostra infatti una situazione più complessa di una semplice contrapposizione tra «intelligence che sapeva» e «Governo che non sapeva».</w:t>
      </w:r>
      <w:r w:rsidR="00F43988">
        <w:t xml:space="preserve"> </w:t>
      </w:r>
      <w:r w:rsidRPr="00410EB2">
        <w:t>Esistevano segnali.</w:t>
      </w:r>
      <w:r w:rsidR="00F43988">
        <w:t xml:space="preserve"> </w:t>
      </w:r>
      <w:r w:rsidRPr="00410EB2">
        <w:t>Esistevano comunicazioni.</w:t>
      </w:r>
      <w:r w:rsidR="00F43988">
        <w:t xml:space="preserve"> </w:t>
      </w:r>
      <w:r w:rsidRPr="00410EB2">
        <w:t>Esisteva un warning relativo alla possibilità di ingressi coordinati.</w:t>
      </w:r>
    </w:p>
    <w:p w14:paraId="69D9B715" w14:textId="77777777" w:rsidR="00410EB2" w:rsidRPr="00410EB2" w:rsidRDefault="00410EB2" w:rsidP="004F0518">
      <w:pPr>
        <w:jc w:val="both"/>
      </w:pPr>
      <w:r w:rsidRPr="00410EB2">
        <w:t xml:space="preserve">Ma, secondo lo stesso CNI, </w:t>
      </w:r>
      <w:r w:rsidRPr="00410EB2">
        <w:rPr>
          <w:b/>
          <w:bCs/>
        </w:rPr>
        <w:t>non era stata anticipata la scala né la natura dell’evento che si sarebbe verificato</w:t>
      </w:r>
      <w:r w:rsidRPr="00410EB2">
        <w:t>.</w:t>
      </w:r>
    </w:p>
    <w:p w14:paraId="60517FA3" w14:textId="77777777" w:rsidR="00410EB2" w:rsidRPr="00410EB2" w:rsidRDefault="00410EB2" w:rsidP="004F0518">
      <w:pPr>
        <w:jc w:val="both"/>
      </w:pPr>
      <w:r w:rsidRPr="00410EB2">
        <w:t>Questa distinzione è metodologicamente essenziale e rende Ceuta un caso di studio molto più interessante.</w:t>
      </w:r>
    </w:p>
    <w:p w14:paraId="0DBAD78D" w14:textId="6DDCDC26" w:rsidR="00410EB2" w:rsidRPr="00410EB2" w:rsidRDefault="00410EB2" w:rsidP="004F0518">
      <w:pPr>
        <w:jc w:val="both"/>
      </w:pPr>
      <w:r w:rsidRPr="00410EB2">
        <w:t>Il punto non è stabilire chi avesse “previsto” il futuro.</w:t>
      </w:r>
      <w:r w:rsidR="00321185">
        <w:t xml:space="preserve"> </w:t>
      </w:r>
      <w:r w:rsidRPr="00410EB2">
        <w:t xml:space="preserve">Il punto è comprendere </w:t>
      </w:r>
      <w:r w:rsidRPr="00410EB2">
        <w:rPr>
          <w:b/>
          <w:bCs/>
        </w:rPr>
        <w:t>come un sistema di intelligence trasforma segnali ambigui in conoscenza orientata alla decisione</w:t>
      </w:r>
      <w:r w:rsidRPr="00410EB2">
        <w:t>.</w:t>
      </w:r>
    </w:p>
    <w:p w14:paraId="53EBFDEF" w14:textId="77777777" w:rsidR="00410EB2" w:rsidRPr="00410EB2" w:rsidRDefault="00410EB2" w:rsidP="004F0518">
      <w:pPr>
        <w:jc w:val="both"/>
      </w:pPr>
      <w:r w:rsidRPr="00410EB2">
        <w:t>E soprattutto come riconosce il momento in cui ciò che fino a ieri rappresentava rumore diventa indicatore; ciò che era indicatore diventa warning; e ciò che era considerato improbabile diventa improvvisamente possibile.</w:t>
      </w:r>
    </w:p>
    <w:p w14:paraId="17DA7EA5" w14:textId="77777777" w:rsidR="00410EB2" w:rsidRPr="00410EB2" w:rsidRDefault="00410EB2" w:rsidP="00F44609">
      <w:pPr>
        <w:pStyle w:val="Titolo2"/>
        <w:spacing w:before="360"/>
      </w:pPr>
      <w:bookmarkStart w:id="11" w:name="la-lezione-di-ceuta"/>
      <w:bookmarkStart w:id="12" w:name="X8e1b5b825c01e9ccb19480598be388610ac93d0"/>
      <w:bookmarkEnd w:id="11"/>
      <w:r w:rsidRPr="00410EB2">
        <w:t>Conclusione: Cassandra non deve avere ragione, deve essere ascoltabile</w:t>
      </w:r>
    </w:p>
    <w:p w14:paraId="6D5FF9F1" w14:textId="0E890496" w:rsidR="00410EB2" w:rsidRPr="00410EB2" w:rsidRDefault="00410EB2" w:rsidP="004F0518">
      <w:pPr>
        <w:jc w:val="both"/>
      </w:pPr>
      <w:r w:rsidRPr="00410EB2">
        <w:t>Il mito di Cassandra contiene una lezione ancora più profonda.</w:t>
      </w:r>
      <w:r w:rsidR="00321185">
        <w:t xml:space="preserve"> </w:t>
      </w:r>
      <w:r w:rsidRPr="00410EB2">
        <w:t>Il problema non era soltanto che Cassandra conoscesse il futuro.</w:t>
      </w:r>
      <w:r w:rsidR="00321185">
        <w:t xml:space="preserve"> </w:t>
      </w:r>
      <w:r w:rsidRPr="00410EB2">
        <w:t xml:space="preserve">Il problema era che </w:t>
      </w:r>
      <w:r w:rsidRPr="00410EB2">
        <w:rPr>
          <w:b/>
          <w:bCs/>
        </w:rPr>
        <w:t>la sua conoscenza non riusciva a produrre conseguenze</w:t>
      </w:r>
      <w:r w:rsidRPr="00410EB2">
        <w:t>.</w:t>
      </w:r>
    </w:p>
    <w:p w14:paraId="16047E13" w14:textId="77777777" w:rsidR="00410EB2" w:rsidRPr="00410EB2" w:rsidRDefault="00410EB2" w:rsidP="004F0518">
      <w:pPr>
        <w:jc w:val="both"/>
      </w:pPr>
      <w:r w:rsidRPr="00410EB2">
        <w:t>Nell’intelligence contemporanea questo significa che il valore dell’analisi non può essere misurato esclusivamente sulla correttezza della previsione.</w:t>
      </w:r>
    </w:p>
    <w:p w14:paraId="45656B8E" w14:textId="77777777" w:rsidR="00410EB2" w:rsidRPr="00410EB2" w:rsidRDefault="00410EB2" w:rsidP="004F0518">
      <w:pPr>
        <w:jc w:val="both"/>
      </w:pPr>
      <w:r w:rsidRPr="00410EB2">
        <w:lastRenderedPageBreak/>
        <w:t xml:space="preserve">Un warning efficace deve essere </w:t>
      </w:r>
      <w:r w:rsidRPr="00410EB2">
        <w:rPr>
          <w:b/>
          <w:bCs/>
        </w:rPr>
        <w:t>tempestivo, diagnostico, comprensibile e collegato a una decisione possibile</w:t>
      </w:r>
      <w:r w:rsidRPr="00410EB2">
        <w:t>.</w:t>
      </w:r>
    </w:p>
    <w:p w14:paraId="53EC42DF" w14:textId="338B78C0" w:rsidR="00410EB2" w:rsidRPr="00410EB2" w:rsidRDefault="00410EB2" w:rsidP="004F0518">
      <w:pPr>
        <w:jc w:val="both"/>
      </w:pPr>
      <w:r w:rsidRPr="00410EB2">
        <w:t>L’obiettivo dell’analista non è dire:</w:t>
      </w:r>
      <w:r w:rsidR="008441DE">
        <w:t xml:space="preserve"> </w:t>
      </w:r>
      <w:r w:rsidRPr="00410EB2">
        <w:t>«Ve l’avevo detto»</w:t>
      </w:r>
      <w:r w:rsidR="008441DE">
        <w:t xml:space="preserve"> bensì </w:t>
      </w:r>
      <w:r w:rsidRPr="00410EB2">
        <w:t>mettere il decisore nelle condizioni di dire, prima che l’evento accada:</w:t>
      </w:r>
      <w:r w:rsidR="008441DE">
        <w:t xml:space="preserve"> </w:t>
      </w:r>
      <w:r w:rsidRPr="00410EB2">
        <w:rPr>
          <w:b/>
          <w:bCs/>
        </w:rPr>
        <w:t>«Se questi indicatori continuano a muoversi in questa direzione, dobbiamo cambiare la nostra valutazione — e agire».</w:t>
      </w:r>
    </w:p>
    <w:p w14:paraId="29CE455F" w14:textId="77777777" w:rsidR="00410EB2" w:rsidRPr="00410EB2" w:rsidRDefault="00410EB2" w:rsidP="004F0518">
      <w:pPr>
        <w:jc w:val="both"/>
      </w:pPr>
      <w:r w:rsidRPr="00410EB2">
        <w:t>Ceuta potrebbe quindi insegnarci qualcosa che va molto oltre la crisi del luglio 2026.</w:t>
      </w:r>
    </w:p>
    <w:p w14:paraId="6948179D" w14:textId="77777777" w:rsidR="00410EB2" w:rsidRPr="00410EB2" w:rsidRDefault="00410EB2" w:rsidP="004F0518">
      <w:pPr>
        <w:jc w:val="both"/>
      </w:pPr>
      <w:r w:rsidRPr="00410EB2">
        <w:t>Nell’intelligence il problema più difficile non è sempre individuare il segnale.</w:t>
      </w:r>
    </w:p>
    <w:p w14:paraId="0DBED487" w14:textId="77777777" w:rsidR="00410EB2" w:rsidRPr="00410EB2" w:rsidRDefault="00410EB2" w:rsidP="004F0518">
      <w:pPr>
        <w:jc w:val="both"/>
      </w:pPr>
      <w:r w:rsidRPr="00410EB2">
        <w:t xml:space="preserve">È capire </w:t>
      </w:r>
      <w:r w:rsidRPr="00410EB2">
        <w:rPr>
          <w:b/>
          <w:bCs/>
        </w:rPr>
        <w:t>quando quel segnale significa che il mondo che avevamo modellizzato fino a ieri sta per cambiare</w:t>
      </w:r>
      <w:r w:rsidRPr="00410EB2">
        <w:t>.</w:t>
      </w:r>
    </w:p>
    <w:p w14:paraId="6CEC077F" w14:textId="77777777" w:rsidR="00410EB2" w:rsidRPr="00410EB2" w:rsidRDefault="00410EB2" w:rsidP="004F0518">
      <w:pPr>
        <w:jc w:val="both"/>
      </w:pPr>
      <w:r w:rsidRPr="00410EB2">
        <w:t xml:space="preserve">Ed è precisamente in quel momento che Cassandra smette di essere un personaggio della mitologia e diventa un problema di intelligence </w:t>
      </w:r>
      <w:proofErr w:type="spellStart"/>
      <w:r w:rsidRPr="00410EB2">
        <w:t>analysis</w:t>
      </w:r>
      <w:proofErr w:type="spellEnd"/>
      <w:r w:rsidRPr="00410EB2">
        <w:t>.</w:t>
      </w:r>
    </w:p>
    <w:p w14:paraId="35E885C7" w14:textId="788684DA" w:rsidR="005B386F" w:rsidRDefault="005B386F">
      <w:pPr>
        <w:rPr>
          <w:lang w:val="en-US"/>
        </w:rPr>
      </w:pPr>
      <w:r>
        <w:rPr>
          <w:lang w:val="en-US"/>
        </w:rPr>
        <w:br w:type="page"/>
      </w:r>
    </w:p>
    <w:p w14:paraId="3460F9D6" w14:textId="1402A8FC" w:rsidR="00410EB2" w:rsidRPr="00410EB2" w:rsidRDefault="00410EB2" w:rsidP="004F0518">
      <w:pPr>
        <w:jc w:val="both"/>
        <w:rPr>
          <w:lang w:val="en-US"/>
        </w:rPr>
      </w:pPr>
      <w:proofErr w:type="spellStart"/>
      <w:r w:rsidRPr="00B86956">
        <w:rPr>
          <w:u w:val="single"/>
          <w:lang w:val="en-US"/>
        </w:rPr>
        <w:lastRenderedPageBreak/>
        <w:t>Riferimenti</w:t>
      </w:r>
      <w:proofErr w:type="spellEnd"/>
      <w:r w:rsidRPr="00B86956">
        <w:rPr>
          <w:u w:val="single"/>
          <w:lang w:val="en-US"/>
        </w:rPr>
        <w:t xml:space="preserve"> </w:t>
      </w:r>
      <w:proofErr w:type="spellStart"/>
      <w:r w:rsidRPr="00B86956">
        <w:rPr>
          <w:u w:val="single"/>
          <w:lang w:val="en-US"/>
        </w:rPr>
        <w:t>essenziali</w:t>
      </w:r>
      <w:proofErr w:type="spellEnd"/>
      <w:r w:rsidR="00B86956">
        <w:rPr>
          <w:lang w:val="en-US"/>
        </w:rPr>
        <w:t>:</w:t>
      </w:r>
    </w:p>
    <w:bookmarkEnd w:id="0"/>
    <w:bookmarkEnd w:id="12"/>
    <w:p w14:paraId="0E64146C" w14:textId="72BFB7DD" w:rsidR="00F24B41" w:rsidRPr="00B86956" w:rsidRDefault="00F24B41" w:rsidP="00B86956">
      <w:pPr>
        <w:pStyle w:val="Paragrafoelenco"/>
        <w:numPr>
          <w:ilvl w:val="0"/>
          <w:numId w:val="31"/>
        </w:numPr>
        <w:spacing w:before="240"/>
        <w:ind w:left="357" w:hanging="357"/>
        <w:jc w:val="both"/>
        <w:rPr>
          <w:lang w:val="en-US"/>
        </w:rPr>
      </w:pPr>
      <w:r w:rsidRPr="00B86956">
        <w:rPr>
          <w:b/>
          <w:bCs/>
          <w:lang w:val="en-US"/>
        </w:rPr>
        <w:t>Betts, Richard K.</w:t>
      </w:r>
      <w:r w:rsidRPr="00B86956">
        <w:rPr>
          <w:lang w:val="en-US"/>
        </w:rPr>
        <w:t xml:space="preserve"> “Analysis, War, and Decision: Why Intelligence Failures Are Inevitable”, </w:t>
      </w:r>
      <w:r w:rsidRPr="00B86956">
        <w:rPr>
          <w:i/>
          <w:iCs/>
          <w:lang w:val="en-US"/>
        </w:rPr>
        <w:t>World Politics</w:t>
      </w:r>
      <w:r w:rsidRPr="00B86956">
        <w:rPr>
          <w:lang w:val="en-US"/>
        </w:rPr>
        <w:t>.</w:t>
      </w:r>
      <w:r w:rsidRPr="00B86956">
        <w:rPr>
          <w:lang w:val="en-US"/>
        </w:rPr>
        <w:t xml:space="preserve"> </w:t>
      </w:r>
      <w:hyperlink r:id="rId14" w:history="1">
        <w:r w:rsidRPr="00B86956">
          <w:rPr>
            <w:rStyle w:val="Collegamentoipertestuale"/>
            <w:lang w:val="en-US"/>
          </w:rPr>
          <w:t>Cambridge University Press – Richard K. Betts</w:t>
        </w:r>
      </w:hyperlink>
    </w:p>
    <w:p w14:paraId="30702E5B" w14:textId="7D60D477" w:rsidR="00F24B41" w:rsidRPr="00B86956" w:rsidRDefault="00F24B41" w:rsidP="00B86956">
      <w:pPr>
        <w:pStyle w:val="Paragrafoelenco"/>
        <w:numPr>
          <w:ilvl w:val="0"/>
          <w:numId w:val="31"/>
        </w:numPr>
        <w:spacing w:before="240"/>
        <w:ind w:left="357" w:hanging="357"/>
        <w:jc w:val="both"/>
        <w:rPr>
          <w:lang w:val="en-US"/>
        </w:rPr>
      </w:pPr>
      <w:r w:rsidRPr="00B86956">
        <w:rPr>
          <w:b/>
          <w:bCs/>
          <w:lang w:val="en-US"/>
        </w:rPr>
        <w:t xml:space="preserve">Jones, Milo; </w:t>
      </w:r>
      <w:proofErr w:type="spellStart"/>
      <w:r w:rsidRPr="00B86956">
        <w:rPr>
          <w:b/>
          <w:bCs/>
          <w:lang w:val="en-US"/>
        </w:rPr>
        <w:t>Silberzahn</w:t>
      </w:r>
      <w:proofErr w:type="spellEnd"/>
      <w:r w:rsidRPr="00B86956">
        <w:rPr>
          <w:b/>
          <w:bCs/>
          <w:lang w:val="en-US"/>
        </w:rPr>
        <w:t>, Philippe.</w:t>
      </w:r>
      <w:r w:rsidRPr="00B86956">
        <w:rPr>
          <w:lang w:val="en-US"/>
        </w:rPr>
        <w:t xml:space="preserve"> </w:t>
      </w:r>
      <w:r w:rsidRPr="00B86956">
        <w:rPr>
          <w:i/>
          <w:iCs/>
          <w:lang w:val="en-US"/>
        </w:rPr>
        <w:t>Constructing Cassandra: Reframing Intelligence Failure at the CIA, 1947–2001</w:t>
      </w:r>
      <w:r w:rsidRPr="00B86956">
        <w:rPr>
          <w:lang w:val="en-US"/>
        </w:rPr>
        <w:t>. Stanford University Press, 2013.</w:t>
      </w:r>
      <w:r w:rsidRPr="00B86956">
        <w:rPr>
          <w:lang w:val="en-US"/>
        </w:rPr>
        <w:t xml:space="preserve"> </w:t>
      </w:r>
      <w:hyperlink r:id="rId15" w:history="1">
        <w:r w:rsidRPr="00B86956">
          <w:rPr>
            <w:rStyle w:val="Collegamentoipertestuale"/>
            <w:lang w:val="en-US"/>
          </w:rPr>
          <w:t>Oxford Academic – Constructing Cassandra</w:t>
        </w:r>
      </w:hyperlink>
    </w:p>
    <w:p w14:paraId="5AAF1899" w14:textId="1F968A63" w:rsidR="00F24B41" w:rsidRPr="00B86956" w:rsidRDefault="00F24B41" w:rsidP="00B86956">
      <w:pPr>
        <w:pStyle w:val="Paragrafoelenco"/>
        <w:numPr>
          <w:ilvl w:val="0"/>
          <w:numId w:val="31"/>
        </w:numPr>
        <w:spacing w:before="240"/>
        <w:ind w:left="357" w:hanging="357"/>
        <w:jc w:val="both"/>
        <w:rPr>
          <w:lang w:val="es-ES"/>
        </w:rPr>
      </w:pPr>
      <w:r w:rsidRPr="00B86956">
        <w:rPr>
          <w:b/>
          <w:bCs/>
          <w:lang w:val="en-US"/>
        </w:rPr>
        <w:t>Frankel, Paul.</w:t>
      </w:r>
      <w:r w:rsidRPr="00B86956">
        <w:rPr>
          <w:lang w:val="en-US"/>
        </w:rPr>
        <w:t xml:space="preserve"> “Escape from the mirror: cultural asymmetry and the logic of strategic surprise”, </w:t>
      </w:r>
      <w:r w:rsidRPr="00B86956">
        <w:rPr>
          <w:i/>
          <w:iCs/>
          <w:lang w:val="en-US"/>
        </w:rPr>
        <w:t>Intelligence and National Security</w:t>
      </w:r>
      <w:r w:rsidRPr="00B86956">
        <w:rPr>
          <w:lang w:val="en-US"/>
        </w:rPr>
        <w:t>, 2026.</w:t>
      </w:r>
      <w:r w:rsidRPr="00B86956">
        <w:rPr>
          <w:lang w:val="en-US"/>
        </w:rPr>
        <w:t xml:space="preserve"> </w:t>
      </w:r>
      <w:hyperlink r:id="rId16" w:history="1">
        <w:r w:rsidRPr="00B86956">
          <w:rPr>
            <w:rStyle w:val="Collegamentoipertestuale"/>
            <w:lang w:val="es-ES"/>
          </w:rPr>
          <w:t xml:space="preserve">Taylor &amp; Francis – Escape </w:t>
        </w:r>
        <w:proofErr w:type="spellStart"/>
        <w:r w:rsidRPr="00B86956">
          <w:rPr>
            <w:rStyle w:val="Collegamentoipertestuale"/>
            <w:lang w:val="es-ES"/>
          </w:rPr>
          <w:t>from</w:t>
        </w:r>
        <w:proofErr w:type="spellEnd"/>
        <w:r w:rsidRPr="00B86956">
          <w:rPr>
            <w:rStyle w:val="Collegamentoipertestuale"/>
            <w:lang w:val="es-ES"/>
          </w:rPr>
          <w:t xml:space="preserve"> </w:t>
        </w:r>
        <w:proofErr w:type="spellStart"/>
        <w:r w:rsidRPr="00B86956">
          <w:rPr>
            <w:rStyle w:val="Collegamentoipertestuale"/>
            <w:lang w:val="es-ES"/>
          </w:rPr>
          <w:t>the</w:t>
        </w:r>
        <w:proofErr w:type="spellEnd"/>
        <w:r w:rsidRPr="00B86956">
          <w:rPr>
            <w:rStyle w:val="Collegamentoipertestuale"/>
            <w:lang w:val="es-ES"/>
          </w:rPr>
          <w:t xml:space="preserve"> </w:t>
        </w:r>
        <w:proofErr w:type="spellStart"/>
        <w:r w:rsidRPr="00B86956">
          <w:rPr>
            <w:rStyle w:val="Collegamentoipertestuale"/>
            <w:lang w:val="es-ES"/>
          </w:rPr>
          <w:t>Mirror</w:t>
        </w:r>
        <w:proofErr w:type="spellEnd"/>
      </w:hyperlink>
    </w:p>
    <w:p w14:paraId="0A4F80A0" w14:textId="714C8270" w:rsidR="00F24B41" w:rsidRPr="00F24B41" w:rsidRDefault="00F24B41" w:rsidP="00B86956">
      <w:pPr>
        <w:pStyle w:val="Paragrafoelenco"/>
        <w:numPr>
          <w:ilvl w:val="0"/>
          <w:numId w:val="31"/>
        </w:numPr>
        <w:spacing w:before="240"/>
        <w:ind w:left="357" w:hanging="357"/>
        <w:jc w:val="both"/>
      </w:pPr>
      <w:r w:rsidRPr="00B86956">
        <w:rPr>
          <w:b/>
          <w:bCs/>
          <w:lang w:val="es-ES"/>
        </w:rPr>
        <w:t>Gobierno de España.</w:t>
      </w:r>
      <w:r w:rsidRPr="00B86956">
        <w:rPr>
          <w:lang w:val="es-ES"/>
        </w:rPr>
        <w:t xml:space="preserve"> </w:t>
      </w:r>
      <w:r w:rsidRPr="00B86956">
        <w:rPr>
          <w:i/>
          <w:iCs/>
          <w:lang w:val="es-ES"/>
        </w:rPr>
        <w:t>Publicación de los informes y comunicaciones sobre la situación de Ceuta</w:t>
      </w:r>
      <w:r w:rsidRPr="00B86956">
        <w:rPr>
          <w:lang w:val="es-ES"/>
        </w:rPr>
        <w:t xml:space="preserve">, 9 </w:t>
      </w:r>
      <w:proofErr w:type="spellStart"/>
      <w:r w:rsidRPr="00B86956">
        <w:rPr>
          <w:lang w:val="es-ES"/>
        </w:rPr>
        <w:t>settembre</w:t>
      </w:r>
      <w:proofErr w:type="spellEnd"/>
      <w:r w:rsidRPr="00B86956">
        <w:rPr>
          <w:lang w:val="es-ES"/>
        </w:rPr>
        <w:t xml:space="preserve"> 2026. </w:t>
      </w:r>
      <w:r w:rsidRPr="00F24B41">
        <w:t>Il repository comprende i 40 documenti e comunicazioni ufficiali relativi al periodo 1–31 luglio.</w:t>
      </w:r>
      <w:r>
        <w:t xml:space="preserve"> </w:t>
      </w:r>
      <w:hyperlink r:id="rId17" w:history="1">
        <w:r w:rsidRPr="00F24B41">
          <w:rPr>
            <w:rStyle w:val="Collegamentoipertestuale"/>
          </w:rPr>
          <w:t>La Moncloa – Documentazione ufficiale sulla crisi di Ceuta</w:t>
        </w:r>
      </w:hyperlink>
    </w:p>
    <w:p w14:paraId="270621D7" w14:textId="6399E5AD" w:rsidR="00F24B41" w:rsidRPr="00F24B41" w:rsidRDefault="00F24B41" w:rsidP="00B86956">
      <w:pPr>
        <w:pStyle w:val="Paragrafoelenco"/>
        <w:numPr>
          <w:ilvl w:val="0"/>
          <w:numId w:val="31"/>
        </w:numPr>
        <w:spacing w:before="240"/>
        <w:ind w:left="357" w:hanging="357"/>
        <w:jc w:val="both"/>
      </w:pPr>
      <w:r w:rsidRPr="00B86956">
        <w:rPr>
          <w:b/>
          <w:bCs/>
        </w:rPr>
        <w:t>RTVE.</w:t>
      </w:r>
      <w:r w:rsidRPr="00F24B41">
        <w:t xml:space="preserve"> Ricostruzioni e analisi della documentazione relativa alla crisi di Ceuta, settembre 2026.</w:t>
      </w:r>
      <w:r>
        <w:t xml:space="preserve"> </w:t>
      </w:r>
      <w:hyperlink r:id="rId18" w:history="1">
        <w:r w:rsidRPr="00F24B41">
          <w:rPr>
            <w:rStyle w:val="Collegamentoipertestuale"/>
          </w:rPr>
          <w:t xml:space="preserve">RTVE – I documenti </w:t>
        </w:r>
        <w:r w:rsidRPr="00F24B41">
          <w:rPr>
            <w:rStyle w:val="Collegamentoipertestuale"/>
          </w:rPr>
          <w:t>declassificati</w:t>
        </w:r>
        <w:r w:rsidRPr="00F24B41">
          <w:rPr>
            <w:rStyle w:val="Collegamentoipertestuale"/>
          </w:rPr>
          <w:t xml:space="preserve"> sulla crisi di Ceuta</w:t>
        </w:r>
      </w:hyperlink>
    </w:p>
    <w:p w14:paraId="2C22EDD3" w14:textId="77777777" w:rsidR="00410EB2" w:rsidRPr="008322A7" w:rsidRDefault="00410EB2" w:rsidP="004F0518">
      <w:pPr>
        <w:jc w:val="both"/>
      </w:pPr>
    </w:p>
    <w:sectPr w:rsidR="00410EB2" w:rsidRPr="008322A7" w:rsidSect="008B6015">
      <w:headerReference w:type="first" r:id="rId19"/>
      <w:pgSz w:w="11906" w:h="16838"/>
      <w:pgMar w:top="1417" w:right="1134" w:bottom="1134" w:left="1134" w:header="709"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D19F1" w14:textId="77777777" w:rsidR="006941D1" w:rsidRDefault="006941D1" w:rsidP="00A57635">
      <w:pPr>
        <w:spacing w:after="0" w:line="240" w:lineRule="auto"/>
      </w:pPr>
      <w:r>
        <w:separator/>
      </w:r>
    </w:p>
  </w:endnote>
  <w:endnote w:type="continuationSeparator" w:id="0">
    <w:p w14:paraId="69214F3E" w14:textId="77777777" w:rsidR="006941D1" w:rsidRDefault="006941D1" w:rsidP="00A57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9447" w14:textId="3754542A" w:rsidR="002B71B1" w:rsidRPr="002B71B1" w:rsidRDefault="00A372D7" w:rsidP="005D087B">
    <w:pPr>
      <w:pStyle w:val="Pidipagina"/>
      <w:jc w:val="right"/>
      <w:rPr>
        <w:sz w:val="20"/>
        <w:szCs w:val="20"/>
      </w:rPr>
    </w:pPr>
    <w:r w:rsidRPr="00694021">
      <w:rPr>
        <w:noProof/>
        <w:sz w:val="20"/>
        <w:szCs w:val="20"/>
      </w:rPr>
      <mc:AlternateContent>
        <mc:Choice Requires="wps">
          <w:drawing>
            <wp:anchor distT="45720" distB="45720" distL="114300" distR="114300" simplePos="0" relativeHeight="251660288" behindDoc="0" locked="0" layoutInCell="1" allowOverlap="1" wp14:anchorId="392D9039" wp14:editId="6FA8A701">
              <wp:simplePos x="0" y="0"/>
              <wp:positionH relativeFrom="margin">
                <wp:align>left</wp:align>
              </wp:positionH>
              <wp:positionV relativeFrom="paragraph">
                <wp:posOffset>-51435</wp:posOffset>
              </wp:positionV>
              <wp:extent cx="1464310" cy="1404620"/>
              <wp:effectExtent l="0" t="0" r="254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310" cy="1404620"/>
                      </a:xfrm>
                      <a:prstGeom prst="rect">
                        <a:avLst/>
                      </a:prstGeom>
                      <a:solidFill>
                        <a:srgbClr val="FFFFFF"/>
                      </a:solidFill>
                      <a:ln w="9525">
                        <a:noFill/>
                        <a:miter lim="800000"/>
                        <a:headEnd/>
                        <a:tailEnd/>
                      </a:ln>
                    </wps:spPr>
                    <wps:txbx>
                      <w:txbxContent>
                        <w:p w14:paraId="2F690DC4" w14:textId="77777777" w:rsidR="00A372D7" w:rsidRPr="00694021" w:rsidRDefault="00A372D7" w:rsidP="00A372D7">
                          <w:pPr>
                            <w:pStyle w:val="Pidipagina"/>
                            <w:rPr>
                              <w:sz w:val="20"/>
                              <w:szCs w:val="20"/>
                            </w:rPr>
                          </w:pPr>
                          <w:r w:rsidRPr="00694021">
                            <w:rPr>
                              <w:sz w:val="20"/>
                              <w:szCs w:val="20"/>
                            </w:rPr>
                            <w:t xml:space="preserve">© 2026 Giovanni Conio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2D9039" id="_x0000_t202" coordsize="21600,21600" o:spt="202" path="m,l,21600r21600,l21600,xe">
              <v:stroke joinstyle="miter"/>
              <v:path gradientshapeok="t" o:connecttype="rect"/>
            </v:shapetype>
            <v:shape id="_x0000_s1030" type="#_x0000_t202" style="position:absolute;left:0;text-align:left;margin-left:0;margin-top:-4.05pt;width:115.3pt;height:110.6pt;z-index:2516602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" stroked="f">
              <v:textbox style="mso-fit-shape-to-text:t">
                <w:txbxContent>
                  <w:p w14:paraId="2F690DC4" w14:textId="77777777" w:rsidR="00A372D7" w:rsidRPr="00694021" w:rsidRDefault="00A372D7" w:rsidP="00A372D7">
                    <w:pPr>
                      <w:pStyle w:val="Pidipagina"/>
                      <w:rPr>
                        <w:sz w:val="20"/>
                        <w:szCs w:val="20"/>
                      </w:rPr>
                    </w:pPr>
                    <w:r w:rsidRPr="00694021">
                      <w:rPr>
                        <w:sz w:val="20"/>
                        <w:szCs w:val="20"/>
                      </w:rPr>
                      <w:t xml:space="preserve">© 2026 Giovanni Conio </w:t>
                    </w:r>
                  </w:p>
                </w:txbxContent>
              </v:textbox>
              <w10:wrap type="square" anchorx="margin"/>
            </v:shape>
          </w:pict>
        </mc:Fallback>
      </mc:AlternateContent>
    </w:r>
    <w:r w:rsidR="002B71B1" w:rsidRPr="002B71B1">
      <w:rPr>
        <w:sz w:val="20"/>
        <w:szCs w:val="20"/>
      </w:rPr>
      <w:t>https://lab4int.com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12A08" w14:textId="77777777" w:rsidR="006941D1" w:rsidRDefault="006941D1" w:rsidP="00A57635">
      <w:pPr>
        <w:spacing w:after="0" w:line="240" w:lineRule="auto"/>
      </w:pPr>
      <w:r>
        <w:separator/>
      </w:r>
    </w:p>
  </w:footnote>
  <w:footnote w:type="continuationSeparator" w:id="0">
    <w:p w14:paraId="6C4A5C36" w14:textId="77777777" w:rsidR="006941D1" w:rsidRDefault="006941D1" w:rsidP="00A57635">
      <w:pPr>
        <w:spacing w:after="0" w:line="240" w:lineRule="auto"/>
      </w:pPr>
      <w:r>
        <w:continuationSeparator/>
      </w:r>
    </w:p>
  </w:footnote>
  <w:footnote w:id="1">
    <w:p w14:paraId="15BD6F39" w14:textId="12F4FAA0" w:rsidR="00813C2A" w:rsidRDefault="00813C2A" w:rsidP="00813C2A">
      <w:pPr>
        <w:pStyle w:val="Testonotaapidipagina"/>
        <w:ind w:left="142" w:hanging="142"/>
        <w:jc w:val="both"/>
      </w:pPr>
      <w:r>
        <w:rPr>
          <w:rStyle w:val="Rimandonotaapidipagina"/>
        </w:rPr>
        <w:footnoteRef/>
      </w:r>
      <w:r>
        <w:t xml:space="preserve"> </w:t>
      </w:r>
      <w:r w:rsidRPr="00813C2A">
        <w:rPr>
          <w:sz w:val="18"/>
          <w:szCs w:val="18"/>
        </w:rPr>
        <w:t xml:space="preserve">Il </w:t>
      </w:r>
      <w:proofErr w:type="spellStart"/>
      <w:r w:rsidRPr="00E6245F">
        <w:rPr>
          <w:i/>
          <w:iCs/>
          <w:sz w:val="18"/>
          <w:szCs w:val="18"/>
        </w:rPr>
        <w:t>normalcy</w:t>
      </w:r>
      <w:proofErr w:type="spellEnd"/>
      <w:r w:rsidRPr="00E6245F">
        <w:rPr>
          <w:i/>
          <w:iCs/>
          <w:sz w:val="18"/>
          <w:szCs w:val="18"/>
        </w:rPr>
        <w:t xml:space="preserve"> bias</w:t>
      </w:r>
      <w:r w:rsidRPr="00813C2A">
        <w:rPr>
          <w:sz w:val="18"/>
          <w:szCs w:val="18"/>
        </w:rPr>
        <w:t xml:space="preserve"> (bias di normalità o pregiudizio della normalità) è una distorsione cognitiva che porta le persone a sottovalutare la probabilità di una crisi o di un disastro e a ignorare i relativi segnali di pericolo.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C542" w14:textId="11755339" w:rsidR="00AC2B95" w:rsidRDefault="0055041A" w:rsidP="00410EB2">
    <w:pPr>
      <w:pStyle w:val="Nessunaspaziatura"/>
      <w:jc w:val="center"/>
    </w:pPr>
    <w:r w:rsidRPr="0001649B">
      <w:rPr>
        <w:rFonts w:ascii="Aptos" w:hAnsi="Aptos"/>
        <w:noProof/>
      </w:rPr>
      <w:drawing>
        <wp:anchor distT="0" distB="0" distL="114300" distR="114300" simplePos="0" relativeHeight="251664384" behindDoc="0" locked="0" layoutInCell="1" allowOverlap="1" wp14:anchorId="59A33D78" wp14:editId="44D8FE90">
          <wp:simplePos x="0" y="0"/>
          <wp:positionH relativeFrom="leftMargin">
            <wp:align>right</wp:align>
          </wp:positionH>
          <wp:positionV relativeFrom="paragraph">
            <wp:posOffset>-174122</wp:posOffset>
          </wp:positionV>
          <wp:extent cx="444500" cy="506730"/>
          <wp:effectExtent l="0" t="0" r="0" b="7620"/>
          <wp:wrapSquare wrapText="bothSides"/>
          <wp:docPr id="59995010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450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0EB2" w:rsidRPr="00410EB2">
      <w:t>La sindrome di Cassandra nell’intelligence: quando vedere non basta</w:t>
    </w:r>
  </w:p>
  <w:p w14:paraId="6EC3BD5D" w14:textId="4620ECB2" w:rsidR="002C051A" w:rsidRPr="005F4EDA" w:rsidRDefault="002C051A" w:rsidP="005F4EDA">
    <w:pPr>
      <w:jc w:val="center"/>
      <w:rPr>
        <w:rFonts w:eastAsiaTheme="minorEastAsia"/>
        <w:kern w:val="0"/>
        <w:sz w:val="22"/>
        <w:szCs w:val="22"/>
        <w:lang w:eastAsia="it-IT"/>
        <w14:ligatures w14:val="none"/>
      </w:rPr>
    </w:pPr>
    <w:r w:rsidRPr="005F4EDA">
      <w:rPr>
        <w:rFonts w:eastAsiaTheme="minorEastAsia"/>
        <w:kern w:val="0"/>
        <w:sz w:val="22"/>
        <w:szCs w:val="22"/>
        <w:lang w:eastAsia="it-IT"/>
        <w14:ligatures w14:val="none"/>
      </w:rPr>
      <w:t>Il caso Ceuta e il difficile passaggio dal segnale al warning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5DBA" w14:textId="3132C876" w:rsidR="008B6015" w:rsidRDefault="008B6015" w:rsidP="008B6015">
    <w:pPr>
      <w:pStyle w:val="Intestazione"/>
      <w:jc w:val="center"/>
    </w:pPr>
    <w:r w:rsidRPr="0001649B">
      <w:rPr>
        <w:rFonts w:ascii="Aptos" w:hAnsi="Aptos"/>
        <w:sz w:val="22"/>
        <w:szCs w:val="22"/>
      </w:rPr>
      <w:t>Automatizzare l’OSINT senza automatizzare il giudizio</w:t>
    </w:r>
    <w:r w:rsidRPr="0001649B">
      <w:rPr>
        <w:rFonts w:ascii="Aptos" w:hAnsi="Aptos"/>
        <w:noProof/>
        <w:sz w:val="22"/>
        <w:szCs w:val="22"/>
      </w:rPr>
      <w:t xml:space="preserve"> </w:t>
    </w:r>
    <w:r w:rsidRPr="0001649B">
      <w:rPr>
        <w:rFonts w:ascii="Aptos" w:hAnsi="Aptos"/>
        <w:noProof/>
        <w:sz w:val="22"/>
        <w:szCs w:val="22"/>
      </w:rPr>
      <w:drawing>
        <wp:anchor distT="0" distB="0" distL="114300" distR="114300" simplePos="0" relativeHeight="251662336" behindDoc="0" locked="0" layoutInCell="1" allowOverlap="1" wp14:anchorId="57BF8F75" wp14:editId="7E6AF886">
          <wp:simplePos x="0" y="0"/>
          <wp:positionH relativeFrom="leftMargin">
            <wp:align>right</wp:align>
          </wp:positionH>
          <wp:positionV relativeFrom="paragraph">
            <wp:posOffset>-79419</wp:posOffset>
          </wp:positionV>
          <wp:extent cx="444500" cy="506730"/>
          <wp:effectExtent l="0" t="0" r="0" b="7620"/>
          <wp:wrapSquare wrapText="bothSides"/>
          <wp:docPr id="179973644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450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788152"/>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 w15:restartNumberingAfterBreak="0">
    <w:nsid w:val="00A99411"/>
    <w:multiLevelType w:val="multilevel"/>
    <w:tmpl w:val="0ECC1012"/>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038C3FD5"/>
    <w:multiLevelType w:val="hybridMultilevel"/>
    <w:tmpl w:val="3DCE898E"/>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11523C54"/>
    <w:multiLevelType w:val="hybridMultilevel"/>
    <w:tmpl w:val="21123114"/>
    <w:lvl w:ilvl="0" w:tplc="037AC2D8">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11E10531"/>
    <w:multiLevelType w:val="hybridMultilevel"/>
    <w:tmpl w:val="95009192"/>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4105A13"/>
    <w:multiLevelType w:val="multilevel"/>
    <w:tmpl w:val="009A6F16"/>
    <w:lvl w:ilvl="0">
      <w:numFmt w:val="bullet"/>
      <w:lvlText w:val="-"/>
      <w:lvlJc w:val="left"/>
      <w:pPr>
        <w:ind w:left="360" w:hanging="360"/>
      </w:pPr>
      <w:rPr>
        <w:rFonts w:ascii="Aptos" w:eastAsiaTheme="minorHAnsi" w:hAnsi="Aptos" w:cstheme="minorBidi"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6" w15:restartNumberingAfterBreak="0">
    <w:nsid w:val="171D78C7"/>
    <w:multiLevelType w:val="hybridMultilevel"/>
    <w:tmpl w:val="5ED0C0D0"/>
    <w:lvl w:ilvl="0" w:tplc="04100011">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7" w15:restartNumberingAfterBreak="0">
    <w:nsid w:val="1FC046EB"/>
    <w:multiLevelType w:val="hybridMultilevel"/>
    <w:tmpl w:val="BEA8A998"/>
    <w:lvl w:ilvl="0" w:tplc="3D043F6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38447D5"/>
    <w:multiLevelType w:val="hybridMultilevel"/>
    <w:tmpl w:val="28E42A84"/>
    <w:lvl w:ilvl="0" w:tplc="0410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AD45041"/>
    <w:multiLevelType w:val="hybridMultilevel"/>
    <w:tmpl w:val="056E97F0"/>
    <w:lvl w:ilvl="0" w:tplc="04100011">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0" w15:restartNumberingAfterBreak="0">
    <w:nsid w:val="32C90888"/>
    <w:multiLevelType w:val="hybridMultilevel"/>
    <w:tmpl w:val="14A8DE4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41581B0B"/>
    <w:multiLevelType w:val="hybridMultilevel"/>
    <w:tmpl w:val="D1649604"/>
    <w:lvl w:ilvl="0" w:tplc="01B83C26">
      <w:numFmt w:val="bullet"/>
      <w:lvlText w:val="-"/>
      <w:lvlJc w:val="left"/>
      <w:pPr>
        <w:ind w:left="931" w:hanging="571"/>
      </w:pPr>
      <w:rPr>
        <w:rFonts w:ascii="Aptos" w:eastAsiaTheme="minorHAnsi" w:hAnsi="Aptos" w:cstheme="minorBidi" w:hint="default"/>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3DF0293"/>
    <w:multiLevelType w:val="hybridMultilevel"/>
    <w:tmpl w:val="4F5CE00E"/>
    <w:lvl w:ilvl="0" w:tplc="037AC2D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3CC77DB"/>
    <w:multiLevelType w:val="multilevel"/>
    <w:tmpl w:val="D6F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9186D"/>
    <w:multiLevelType w:val="hybridMultilevel"/>
    <w:tmpl w:val="8C66A706"/>
    <w:lvl w:ilvl="0" w:tplc="B01E17C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A280C98"/>
    <w:multiLevelType w:val="multilevel"/>
    <w:tmpl w:val="BCA6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02BAB"/>
    <w:multiLevelType w:val="hybridMultilevel"/>
    <w:tmpl w:val="0ABAC7F6"/>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5D7F2A81"/>
    <w:multiLevelType w:val="hybridMultilevel"/>
    <w:tmpl w:val="A8EE227C"/>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5DC80B63"/>
    <w:multiLevelType w:val="multilevel"/>
    <w:tmpl w:val="251E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D07DE"/>
    <w:multiLevelType w:val="hybridMultilevel"/>
    <w:tmpl w:val="E010555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64817D6E"/>
    <w:multiLevelType w:val="hybridMultilevel"/>
    <w:tmpl w:val="8B969C6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658D1ECE"/>
    <w:multiLevelType w:val="hybridMultilevel"/>
    <w:tmpl w:val="D29C4F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65CF6FF7"/>
    <w:multiLevelType w:val="multilevel"/>
    <w:tmpl w:val="5EBC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067E6"/>
    <w:multiLevelType w:val="multilevel"/>
    <w:tmpl w:val="FF667DA0"/>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4" w15:restartNumberingAfterBreak="0">
    <w:nsid w:val="6A517C6A"/>
    <w:multiLevelType w:val="hybridMultilevel"/>
    <w:tmpl w:val="6F34A9D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75C3092B"/>
    <w:multiLevelType w:val="multilevel"/>
    <w:tmpl w:val="E67C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EE00FC"/>
    <w:multiLevelType w:val="multilevel"/>
    <w:tmpl w:val="D3E4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61887"/>
    <w:multiLevelType w:val="hybridMultilevel"/>
    <w:tmpl w:val="347E13EC"/>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7D4E7A22"/>
    <w:multiLevelType w:val="multilevel"/>
    <w:tmpl w:val="779C36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D823018"/>
    <w:multiLevelType w:val="hybridMultilevel"/>
    <w:tmpl w:val="8892C32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340960004">
    <w:abstractNumId w:val="4"/>
  </w:num>
  <w:num w:numId="2" w16cid:durableId="2086225443">
    <w:abstractNumId w:val="12"/>
  </w:num>
  <w:num w:numId="3" w16cid:durableId="765076848">
    <w:abstractNumId w:val="27"/>
  </w:num>
  <w:num w:numId="4" w16cid:durableId="1080903284">
    <w:abstractNumId w:val="7"/>
  </w:num>
  <w:num w:numId="5" w16cid:durableId="1616522214">
    <w:abstractNumId w:val="17"/>
  </w:num>
  <w:num w:numId="6" w16cid:durableId="1236162003">
    <w:abstractNumId w:val="14"/>
  </w:num>
  <w:num w:numId="7" w16cid:durableId="128480578">
    <w:abstractNumId w:val="9"/>
  </w:num>
  <w:num w:numId="8" w16cid:durableId="1343582330">
    <w:abstractNumId w:val="16"/>
  </w:num>
  <w:num w:numId="9" w16cid:durableId="17001575">
    <w:abstractNumId w:val="2"/>
  </w:num>
  <w:num w:numId="10" w16cid:durableId="2044010937">
    <w:abstractNumId w:val="11"/>
  </w:num>
  <w:num w:numId="11" w16cid:durableId="1811897700">
    <w:abstractNumId w:val="8"/>
  </w:num>
  <w:num w:numId="12" w16cid:durableId="395788749">
    <w:abstractNumId w:val="3"/>
  </w:num>
  <w:num w:numId="13" w16cid:durableId="2130975588">
    <w:abstractNumId w:val="0"/>
  </w:num>
  <w:num w:numId="14" w16cid:durableId="1224441160">
    <w:abstractNumId w:val="5"/>
  </w:num>
  <w:num w:numId="15" w16cid:durableId="3668744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2948696">
    <w:abstractNumId w:val="18"/>
  </w:num>
  <w:num w:numId="17" w16cid:durableId="2115857858">
    <w:abstractNumId w:val="25"/>
  </w:num>
  <w:num w:numId="18" w16cid:durableId="1634678336">
    <w:abstractNumId w:val="29"/>
  </w:num>
  <w:num w:numId="19" w16cid:durableId="983043944">
    <w:abstractNumId w:val="10"/>
  </w:num>
  <w:num w:numId="20" w16cid:durableId="1565680901">
    <w:abstractNumId w:val="28"/>
  </w:num>
  <w:num w:numId="21" w16cid:durableId="261300261">
    <w:abstractNumId w:val="21"/>
  </w:num>
  <w:num w:numId="22" w16cid:durableId="1941140563">
    <w:abstractNumId w:val="20"/>
  </w:num>
  <w:num w:numId="23" w16cid:durableId="1358313601">
    <w:abstractNumId w:val="24"/>
  </w:num>
  <w:num w:numId="24" w16cid:durableId="1846673687">
    <w:abstractNumId w:val="13"/>
  </w:num>
  <w:num w:numId="25" w16cid:durableId="327173550">
    <w:abstractNumId w:val="26"/>
  </w:num>
  <w:num w:numId="26" w16cid:durableId="774593508">
    <w:abstractNumId w:val="15"/>
  </w:num>
  <w:num w:numId="27" w16cid:durableId="1241988884">
    <w:abstractNumId w:val="22"/>
  </w:num>
  <w:num w:numId="28" w16cid:durableId="1654527767">
    <w:abstractNumId w:val="0"/>
  </w:num>
  <w:num w:numId="29" w16cid:durableId="802046203">
    <w:abstractNumId w:val="6"/>
  </w:num>
  <w:num w:numId="30" w16cid:durableId="957954705">
    <w:abstractNumId w:val="23"/>
  </w:num>
  <w:num w:numId="31" w16cid:durableId="8492227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695"/>
    <w:rsid w:val="000125C6"/>
    <w:rsid w:val="000142E8"/>
    <w:rsid w:val="0001649B"/>
    <w:rsid w:val="00025B18"/>
    <w:rsid w:val="00026496"/>
    <w:rsid w:val="00031695"/>
    <w:rsid w:val="000358C3"/>
    <w:rsid w:val="000404AA"/>
    <w:rsid w:val="000445FB"/>
    <w:rsid w:val="00054309"/>
    <w:rsid w:val="00055103"/>
    <w:rsid w:val="00057608"/>
    <w:rsid w:val="00061183"/>
    <w:rsid w:val="0006364D"/>
    <w:rsid w:val="00063D72"/>
    <w:rsid w:val="0006650B"/>
    <w:rsid w:val="00074945"/>
    <w:rsid w:val="00075808"/>
    <w:rsid w:val="000765A8"/>
    <w:rsid w:val="00080E01"/>
    <w:rsid w:val="000826EA"/>
    <w:rsid w:val="0008548A"/>
    <w:rsid w:val="00087397"/>
    <w:rsid w:val="00090E56"/>
    <w:rsid w:val="00097591"/>
    <w:rsid w:val="000A76DB"/>
    <w:rsid w:val="000B53C3"/>
    <w:rsid w:val="000B55C3"/>
    <w:rsid w:val="000B5BAD"/>
    <w:rsid w:val="000C50D6"/>
    <w:rsid w:val="000C600E"/>
    <w:rsid w:val="000C6964"/>
    <w:rsid w:val="000D0959"/>
    <w:rsid w:val="000D5820"/>
    <w:rsid w:val="000D64D4"/>
    <w:rsid w:val="000D76FE"/>
    <w:rsid w:val="000E2864"/>
    <w:rsid w:val="000E2B54"/>
    <w:rsid w:val="000F36F1"/>
    <w:rsid w:val="00102D4E"/>
    <w:rsid w:val="0010676A"/>
    <w:rsid w:val="00107F33"/>
    <w:rsid w:val="0011105B"/>
    <w:rsid w:val="00112D14"/>
    <w:rsid w:val="00117412"/>
    <w:rsid w:val="0012020D"/>
    <w:rsid w:val="001237D4"/>
    <w:rsid w:val="001247FA"/>
    <w:rsid w:val="00126004"/>
    <w:rsid w:val="00133017"/>
    <w:rsid w:val="0013668D"/>
    <w:rsid w:val="00140A4D"/>
    <w:rsid w:val="00142CD1"/>
    <w:rsid w:val="00146968"/>
    <w:rsid w:val="00151E12"/>
    <w:rsid w:val="00154D9A"/>
    <w:rsid w:val="001562EC"/>
    <w:rsid w:val="00156573"/>
    <w:rsid w:val="00156F12"/>
    <w:rsid w:val="00157D33"/>
    <w:rsid w:val="00164604"/>
    <w:rsid w:val="00164D10"/>
    <w:rsid w:val="001754D5"/>
    <w:rsid w:val="00181399"/>
    <w:rsid w:val="00190EF4"/>
    <w:rsid w:val="0019256B"/>
    <w:rsid w:val="001925B1"/>
    <w:rsid w:val="001A0542"/>
    <w:rsid w:val="001A357D"/>
    <w:rsid w:val="001A40A0"/>
    <w:rsid w:val="001A613F"/>
    <w:rsid w:val="001A758F"/>
    <w:rsid w:val="001B0431"/>
    <w:rsid w:val="001B5B15"/>
    <w:rsid w:val="001B5F68"/>
    <w:rsid w:val="001B7E2D"/>
    <w:rsid w:val="001C066A"/>
    <w:rsid w:val="001C57A3"/>
    <w:rsid w:val="001C7190"/>
    <w:rsid w:val="001C7EC2"/>
    <w:rsid w:val="001D233F"/>
    <w:rsid w:val="001D683B"/>
    <w:rsid w:val="001E0562"/>
    <w:rsid w:val="001E2CF9"/>
    <w:rsid w:val="001E4A10"/>
    <w:rsid w:val="001E5597"/>
    <w:rsid w:val="001E5C67"/>
    <w:rsid w:val="002044BE"/>
    <w:rsid w:val="00204DF8"/>
    <w:rsid w:val="0021091C"/>
    <w:rsid w:val="00210BE2"/>
    <w:rsid w:val="00216C28"/>
    <w:rsid w:val="00241466"/>
    <w:rsid w:val="00243B29"/>
    <w:rsid w:val="002545BD"/>
    <w:rsid w:val="002562F4"/>
    <w:rsid w:val="002572FD"/>
    <w:rsid w:val="00266471"/>
    <w:rsid w:val="002722F7"/>
    <w:rsid w:val="00273989"/>
    <w:rsid w:val="00276336"/>
    <w:rsid w:val="00281D3E"/>
    <w:rsid w:val="00290681"/>
    <w:rsid w:val="002909BE"/>
    <w:rsid w:val="00292CCC"/>
    <w:rsid w:val="002932A0"/>
    <w:rsid w:val="002946AE"/>
    <w:rsid w:val="002A0405"/>
    <w:rsid w:val="002A192E"/>
    <w:rsid w:val="002A3351"/>
    <w:rsid w:val="002A5D86"/>
    <w:rsid w:val="002B396E"/>
    <w:rsid w:val="002B4AB6"/>
    <w:rsid w:val="002B71B1"/>
    <w:rsid w:val="002C051A"/>
    <w:rsid w:val="002C06B7"/>
    <w:rsid w:val="002C1094"/>
    <w:rsid w:val="002C5781"/>
    <w:rsid w:val="002D36A3"/>
    <w:rsid w:val="002D57DC"/>
    <w:rsid w:val="002E0E0A"/>
    <w:rsid w:val="002E12A8"/>
    <w:rsid w:val="002E1916"/>
    <w:rsid w:val="002E77AC"/>
    <w:rsid w:val="002F1FE5"/>
    <w:rsid w:val="002F263F"/>
    <w:rsid w:val="002F29A2"/>
    <w:rsid w:val="003059FE"/>
    <w:rsid w:val="00310222"/>
    <w:rsid w:val="00321185"/>
    <w:rsid w:val="00324831"/>
    <w:rsid w:val="00324EFC"/>
    <w:rsid w:val="003319B0"/>
    <w:rsid w:val="00336A22"/>
    <w:rsid w:val="00337680"/>
    <w:rsid w:val="00340B03"/>
    <w:rsid w:val="0034363E"/>
    <w:rsid w:val="00343F3C"/>
    <w:rsid w:val="00361A1E"/>
    <w:rsid w:val="00375146"/>
    <w:rsid w:val="00380273"/>
    <w:rsid w:val="003869AE"/>
    <w:rsid w:val="00386F31"/>
    <w:rsid w:val="00391FD5"/>
    <w:rsid w:val="00397009"/>
    <w:rsid w:val="003A0BF7"/>
    <w:rsid w:val="003B3BC5"/>
    <w:rsid w:val="003C6F8D"/>
    <w:rsid w:val="003D0A24"/>
    <w:rsid w:val="003D1824"/>
    <w:rsid w:val="003E1540"/>
    <w:rsid w:val="003F2D16"/>
    <w:rsid w:val="003F35AA"/>
    <w:rsid w:val="004015EF"/>
    <w:rsid w:val="00402516"/>
    <w:rsid w:val="00410EB2"/>
    <w:rsid w:val="004249F6"/>
    <w:rsid w:val="00426785"/>
    <w:rsid w:val="004303BF"/>
    <w:rsid w:val="00430762"/>
    <w:rsid w:val="004344B2"/>
    <w:rsid w:val="00443A3A"/>
    <w:rsid w:val="00445519"/>
    <w:rsid w:val="00446DAF"/>
    <w:rsid w:val="00447C17"/>
    <w:rsid w:val="00451E48"/>
    <w:rsid w:val="0045297E"/>
    <w:rsid w:val="004551C6"/>
    <w:rsid w:val="00463A00"/>
    <w:rsid w:val="00463F87"/>
    <w:rsid w:val="004709BA"/>
    <w:rsid w:val="00470E0B"/>
    <w:rsid w:val="004759FB"/>
    <w:rsid w:val="00475E20"/>
    <w:rsid w:val="004810C3"/>
    <w:rsid w:val="00483F5A"/>
    <w:rsid w:val="00484592"/>
    <w:rsid w:val="0048631B"/>
    <w:rsid w:val="0049221E"/>
    <w:rsid w:val="004A6AC1"/>
    <w:rsid w:val="004A767F"/>
    <w:rsid w:val="004B0D01"/>
    <w:rsid w:val="004B4ECB"/>
    <w:rsid w:val="004B51BC"/>
    <w:rsid w:val="004C2D7E"/>
    <w:rsid w:val="004D0E1E"/>
    <w:rsid w:val="004D1C37"/>
    <w:rsid w:val="004D322A"/>
    <w:rsid w:val="004D59C4"/>
    <w:rsid w:val="004D7D4C"/>
    <w:rsid w:val="004E3938"/>
    <w:rsid w:val="004F01A2"/>
    <w:rsid w:val="004F0518"/>
    <w:rsid w:val="004F728B"/>
    <w:rsid w:val="00505ACB"/>
    <w:rsid w:val="005100AD"/>
    <w:rsid w:val="005131A5"/>
    <w:rsid w:val="00515194"/>
    <w:rsid w:val="00524517"/>
    <w:rsid w:val="00527A8B"/>
    <w:rsid w:val="00527CEA"/>
    <w:rsid w:val="00531956"/>
    <w:rsid w:val="00531CEA"/>
    <w:rsid w:val="00532500"/>
    <w:rsid w:val="00533EB4"/>
    <w:rsid w:val="0053432C"/>
    <w:rsid w:val="00536734"/>
    <w:rsid w:val="005450FB"/>
    <w:rsid w:val="0055041A"/>
    <w:rsid w:val="00551DFD"/>
    <w:rsid w:val="005531AF"/>
    <w:rsid w:val="005562B0"/>
    <w:rsid w:val="00560251"/>
    <w:rsid w:val="00565FB7"/>
    <w:rsid w:val="005733E9"/>
    <w:rsid w:val="005761AE"/>
    <w:rsid w:val="00584D31"/>
    <w:rsid w:val="005913B5"/>
    <w:rsid w:val="005923CC"/>
    <w:rsid w:val="0059396F"/>
    <w:rsid w:val="005976CC"/>
    <w:rsid w:val="0059793D"/>
    <w:rsid w:val="00597A16"/>
    <w:rsid w:val="005A2CE6"/>
    <w:rsid w:val="005A3662"/>
    <w:rsid w:val="005A78C1"/>
    <w:rsid w:val="005B1BA8"/>
    <w:rsid w:val="005B1C55"/>
    <w:rsid w:val="005B386F"/>
    <w:rsid w:val="005B5866"/>
    <w:rsid w:val="005B5C55"/>
    <w:rsid w:val="005C131D"/>
    <w:rsid w:val="005C1A23"/>
    <w:rsid w:val="005C4E6F"/>
    <w:rsid w:val="005D087B"/>
    <w:rsid w:val="005D2B37"/>
    <w:rsid w:val="005D3160"/>
    <w:rsid w:val="005D3298"/>
    <w:rsid w:val="005D3A7A"/>
    <w:rsid w:val="005E0505"/>
    <w:rsid w:val="005E1E48"/>
    <w:rsid w:val="005F3AC8"/>
    <w:rsid w:val="005F4EDA"/>
    <w:rsid w:val="005F71C1"/>
    <w:rsid w:val="00602197"/>
    <w:rsid w:val="006042E7"/>
    <w:rsid w:val="00607849"/>
    <w:rsid w:val="006110E0"/>
    <w:rsid w:val="00613E9F"/>
    <w:rsid w:val="006151FF"/>
    <w:rsid w:val="00615C45"/>
    <w:rsid w:val="00617ACF"/>
    <w:rsid w:val="00625538"/>
    <w:rsid w:val="00626BB7"/>
    <w:rsid w:val="00632C4E"/>
    <w:rsid w:val="00635A5E"/>
    <w:rsid w:val="006368F3"/>
    <w:rsid w:val="00652B85"/>
    <w:rsid w:val="006611AC"/>
    <w:rsid w:val="0066159F"/>
    <w:rsid w:val="006625C2"/>
    <w:rsid w:val="00662EF0"/>
    <w:rsid w:val="0067232B"/>
    <w:rsid w:val="00690CC4"/>
    <w:rsid w:val="006941D1"/>
    <w:rsid w:val="00696AE7"/>
    <w:rsid w:val="006A0E1C"/>
    <w:rsid w:val="006A62A9"/>
    <w:rsid w:val="006A7144"/>
    <w:rsid w:val="006B263E"/>
    <w:rsid w:val="006C3206"/>
    <w:rsid w:val="006C5429"/>
    <w:rsid w:val="006D0CB3"/>
    <w:rsid w:val="006D0D08"/>
    <w:rsid w:val="006D573A"/>
    <w:rsid w:val="006E7EEE"/>
    <w:rsid w:val="006F16FC"/>
    <w:rsid w:val="006F32D9"/>
    <w:rsid w:val="006F3767"/>
    <w:rsid w:val="006F6E1A"/>
    <w:rsid w:val="00702D69"/>
    <w:rsid w:val="0070580E"/>
    <w:rsid w:val="00706F25"/>
    <w:rsid w:val="00711CBC"/>
    <w:rsid w:val="007166F3"/>
    <w:rsid w:val="00717621"/>
    <w:rsid w:val="0073287B"/>
    <w:rsid w:val="00741C56"/>
    <w:rsid w:val="007441F2"/>
    <w:rsid w:val="00747084"/>
    <w:rsid w:val="007556CE"/>
    <w:rsid w:val="00770A20"/>
    <w:rsid w:val="0077546D"/>
    <w:rsid w:val="00775B4F"/>
    <w:rsid w:val="00777A8A"/>
    <w:rsid w:val="00780D51"/>
    <w:rsid w:val="0078262D"/>
    <w:rsid w:val="00795914"/>
    <w:rsid w:val="007A18F2"/>
    <w:rsid w:val="007A4F8E"/>
    <w:rsid w:val="007A54E7"/>
    <w:rsid w:val="007A63EC"/>
    <w:rsid w:val="007A6443"/>
    <w:rsid w:val="007A750F"/>
    <w:rsid w:val="007A7A1C"/>
    <w:rsid w:val="007B4226"/>
    <w:rsid w:val="007C1256"/>
    <w:rsid w:val="007C1362"/>
    <w:rsid w:val="007C1613"/>
    <w:rsid w:val="007C2593"/>
    <w:rsid w:val="007D02DE"/>
    <w:rsid w:val="007D0958"/>
    <w:rsid w:val="007E0079"/>
    <w:rsid w:val="007E14ED"/>
    <w:rsid w:val="007E28DC"/>
    <w:rsid w:val="007E4338"/>
    <w:rsid w:val="007E4DC8"/>
    <w:rsid w:val="007E55C5"/>
    <w:rsid w:val="007F2C61"/>
    <w:rsid w:val="00803B10"/>
    <w:rsid w:val="00811E24"/>
    <w:rsid w:val="00813C2A"/>
    <w:rsid w:val="008160E2"/>
    <w:rsid w:val="00816D87"/>
    <w:rsid w:val="008300F5"/>
    <w:rsid w:val="00831400"/>
    <w:rsid w:val="008322A7"/>
    <w:rsid w:val="00834653"/>
    <w:rsid w:val="008355FB"/>
    <w:rsid w:val="00840D1F"/>
    <w:rsid w:val="00843D8F"/>
    <w:rsid w:val="008441DE"/>
    <w:rsid w:val="00853A05"/>
    <w:rsid w:val="00854F06"/>
    <w:rsid w:val="008621C5"/>
    <w:rsid w:val="00867092"/>
    <w:rsid w:val="00867684"/>
    <w:rsid w:val="0087528D"/>
    <w:rsid w:val="00875E70"/>
    <w:rsid w:val="00882FCD"/>
    <w:rsid w:val="008A03CF"/>
    <w:rsid w:val="008A31B7"/>
    <w:rsid w:val="008A600D"/>
    <w:rsid w:val="008A7608"/>
    <w:rsid w:val="008B03C9"/>
    <w:rsid w:val="008B54EE"/>
    <w:rsid w:val="008B6015"/>
    <w:rsid w:val="008C5679"/>
    <w:rsid w:val="008D4EF6"/>
    <w:rsid w:val="008E33DF"/>
    <w:rsid w:val="008E5437"/>
    <w:rsid w:val="008E70B5"/>
    <w:rsid w:val="008E7A7E"/>
    <w:rsid w:val="008F22A6"/>
    <w:rsid w:val="008F4C57"/>
    <w:rsid w:val="008F55AA"/>
    <w:rsid w:val="008F5B2B"/>
    <w:rsid w:val="008F7789"/>
    <w:rsid w:val="009029E4"/>
    <w:rsid w:val="0090374C"/>
    <w:rsid w:val="00905D2C"/>
    <w:rsid w:val="00905E9C"/>
    <w:rsid w:val="0090674F"/>
    <w:rsid w:val="0091403C"/>
    <w:rsid w:val="009243B9"/>
    <w:rsid w:val="00924D3D"/>
    <w:rsid w:val="00933001"/>
    <w:rsid w:val="009442A7"/>
    <w:rsid w:val="00945B8F"/>
    <w:rsid w:val="00951315"/>
    <w:rsid w:val="0095614B"/>
    <w:rsid w:val="00957401"/>
    <w:rsid w:val="00966DDB"/>
    <w:rsid w:val="00970C8D"/>
    <w:rsid w:val="009732A2"/>
    <w:rsid w:val="009815D7"/>
    <w:rsid w:val="00983D39"/>
    <w:rsid w:val="009867C9"/>
    <w:rsid w:val="00995D7C"/>
    <w:rsid w:val="009A109A"/>
    <w:rsid w:val="009B6E5F"/>
    <w:rsid w:val="009B7FB5"/>
    <w:rsid w:val="009C0157"/>
    <w:rsid w:val="009C25F2"/>
    <w:rsid w:val="009C61C8"/>
    <w:rsid w:val="009C655A"/>
    <w:rsid w:val="009C7CD8"/>
    <w:rsid w:val="009D1954"/>
    <w:rsid w:val="009D39F4"/>
    <w:rsid w:val="009E129E"/>
    <w:rsid w:val="009E2D25"/>
    <w:rsid w:val="009E6B1C"/>
    <w:rsid w:val="009F4F0C"/>
    <w:rsid w:val="00A141C0"/>
    <w:rsid w:val="00A17B01"/>
    <w:rsid w:val="00A17F96"/>
    <w:rsid w:val="00A21DCC"/>
    <w:rsid w:val="00A24273"/>
    <w:rsid w:val="00A2635B"/>
    <w:rsid w:val="00A27606"/>
    <w:rsid w:val="00A30195"/>
    <w:rsid w:val="00A37278"/>
    <w:rsid w:val="00A372D7"/>
    <w:rsid w:val="00A37C01"/>
    <w:rsid w:val="00A40A01"/>
    <w:rsid w:val="00A55638"/>
    <w:rsid w:val="00A57287"/>
    <w:rsid w:val="00A573FD"/>
    <w:rsid w:val="00A57635"/>
    <w:rsid w:val="00A61C54"/>
    <w:rsid w:val="00A63590"/>
    <w:rsid w:val="00A67B76"/>
    <w:rsid w:val="00A72E86"/>
    <w:rsid w:val="00A77E74"/>
    <w:rsid w:val="00A809E9"/>
    <w:rsid w:val="00A82BB1"/>
    <w:rsid w:val="00A84D00"/>
    <w:rsid w:val="00A8666D"/>
    <w:rsid w:val="00A870C1"/>
    <w:rsid w:val="00A8748C"/>
    <w:rsid w:val="00A93BF6"/>
    <w:rsid w:val="00A94D51"/>
    <w:rsid w:val="00AA0713"/>
    <w:rsid w:val="00AB34C6"/>
    <w:rsid w:val="00AB45F6"/>
    <w:rsid w:val="00AC2B95"/>
    <w:rsid w:val="00AC4A6E"/>
    <w:rsid w:val="00AC4BF6"/>
    <w:rsid w:val="00AD011A"/>
    <w:rsid w:val="00AD48DC"/>
    <w:rsid w:val="00AD6020"/>
    <w:rsid w:val="00AE4BF2"/>
    <w:rsid w:val="00AE78CE"/>
    <w:rsid w:val="00AE7DE7"/>
    <w:rsid w:val="00AF0D47"/>
    <w:rsid w:val="00AF3FC7"/>
    <w:rsid w:val="00AF7CF8"/>
    <w:rsid w:val="00B007F9"/>
    <w:rsid w:val="00B05384"/>
    <w:rsid w:val="00B11E38"/>
    <w:rsid w:val="00B24107"/>
    <w:rsid w:val="00B259C9"/>
    <w:rsid w:val="00B3328A"/>
    <w:rsid w:val="00B34F0C"/>
    <w:rsid w:val="00B421B3"/>
    <w:rsid w:val="00B4722E"/>
    <w:rsid w:val="00B615B6"/>
    <w:rsid w:val="00B67DE3"/>
    <w:rsid w:val="00B71A71"/>
    <w:rsid w:val="00B83FBA"/>
    <w:rsid w:val="00B8694C"/>
    <w:rsid w:val="00B86956"/>
    <w:rsid w:val="00B90198"/>
    <w:rsid w:val="00B95518"/>
    <w:rsid w:val="00B96B74"/>
    <w:rsid w:val="00BA1C24"/>
    <w:rsid w:val="00BA4FEE"/>
    <w:rsid w:val="00BB348D"/>
    <w:rsid w:val="00BB432F"/>
    <w:rsid w:val="00BB5162"/>
    <w:rsid w:val="00BC0324"/>
    <w:rsid w:val="00BD7F25"/>
    <w:rsid w:val="00BF1831"/>
    <w:rsid w:val="00BF20A7"/>
    <w:rsid w:val="00BF253C"/>
    <w:rsid w:val="00BF5648"/>
    <w:rsid w:val="00BF6A5D"/>
    <w:rsid w:val="00C0326F"/>
    <w:rsid w:val="00C257FD"/>
    <w:rsid w:val="00C32D78"/>
    <w:rsid w:val="00C404CA"/>
    <w:rsid w:val="00C514ED"/>
    <w:rsid w:val="00C52B04"/>
    <w:rsid w:val="00C537CB"/>
    <w:rsid w:val="00C60619"/>
    <w:rsid w:val="00C63427"/>
    <w:rsid w:val="00C676C1"/>
    <w:rsid w:val="00C70F53"/>
    <w:rsid w:val="00C73E1A"/>
    <w:rsid w:val="00C747C5"/>
    <w:rsid w:val="00C7621E"/>
    <w:rsid w:val="00C7793A"/>
    <w:rsid w:val="00C87E03"/>
    <w:rsid w:val="00C96FB0"/>
    <w:rsid w:val="00CA5DFD"/>
    <w:rsid w:val="00CA6D2D"/>
    <w:rsid w:val="00CB31DE"/>
    <w:rsid w:val="00CB6FC2"/>
    <w:rsid w:val="00CC40C9"/>
    <w:rsid w:val="00CC6F37"/>
    <w:rsid w:val="00CD0307"/>
    <w:rsid w:val="00CD0A86"/>
    <w:rsid w:val="00CD5D74"/>
    <w:rsid w:val="00CE2B1F"/>
    <w:rsid w:val="00CE432E"/>
    <w:rsid w:val="00CE4429"/>
    <w:rsid w:val="00CE490B"/>
    <w:rsid w:val="00CE4A21"/>
    <w:rsid w:val="00CF537C"/>
    <w:rsid w:val="00D0626B"/>
    <w:rsid w:val="00D122EB"/>
    <w:rsid w:val="00D137CB"/>
    <w:rsid w:val="00D21783"/>
    <w:rsid w:val="00D21C53"/>
    <w:rsid w:val="00D30978"/>
    <w:rsid w:val="00D335AF"/>
    <w:rsid w:val="00D361F8"/>
    <w:rsid w:val="00D41681"/>
    <w:rsid w:val="00D4194E"/>
    <w:rsid w:val="00D55620"/>
    <w:rsid w:val="00D6453B"/>
    <w:rsid w:val="00D6493C"/>
    <w:rsid w:val="00D738FE"/>
    <w:rsid w:val="00D82B22"/>
    <w:rsid w:val="00D868FA"/>
    <w:rsid w:val="00D927A2"/>
    <w:rsid w:val="00D977D7"/>
    <w:rsid w:val="00DA3E8A"/>
    <w:rsid w:val="00DA6CC7"/>
    <w:rsid w:val="00DB312C"/>
    <w:rsid w:val="00DB606F"/>
    <w:rsid w:val="00DC68EB"/>
    <w:rsid w:val="00DC726C"/>
    <w:rsid w:val="00DD01FA"/>
    <w:rsid w:val="00DD3A84"/>
    <w:rsid w:val="00DD7EA5"/>
    <w:rsid w:val="00DE030A"/>
    <w:rsid w:val="00DE2956"/>
    <w:rsid w:val="00DF0C17"/>
    <w:rsid w:val="00DF2082"/>
    <w:rsid w:val="00DF21DA"/>
    <w:rsid w:val="00DF2BA3"/>
    <w:rsid w:val="00E01659"/>
    <w:rsid w:val="00E13FFF"/>
    <w:rsid w:val="00E14548"/>
    <w:rsid w:val="00E15EC0"/>
    <w:rsid w:val="00E160DD"/>
    <w:rsid w:val="00E17E7E"/>
    <w:rsid w:val="00E21159"/>
    <w:rsid w:val="00E2139C"/>
    <w:rsid w:val="00E24DCF"/>
    <w:rsid w:val="00E34CD3"/>
    <w:rsid w:val="00E3543B"/>
    <w:rsid w:val="00E37B47"/>
    <w:rsid w:val="00E42340"/>
    <w:rsid w:val="00E43DDD"/>
    <w:rsid w:val="00E4607B"/>
    <w:rsid w:val="00E46E55"/>
    <w:rsid w:val="00E5080B"/>
    <w:rsid w:val="00E53D54"/>
    <w:rsid w:val="00E5721D"/>
    <w:rsid w:val="00E612C6"/>
    <w:rsid w:val="00E6245F"/>
    <w:rsid w:val="00E84046"/>
    <w:rsid w:val="00E84056"/>
    <w:rsid w:val="00E87467"/>
    <w:rsid w:val="00E92851"/>
    <w:rsid w:val="00E93A53"/>
    <w:rsid w:val="00E9462E"/>
    <w:rsid w:val="00EC3942"/>
    <w:rsid w:val="00ED3BCD"/>
    <w:rsid w:val="00ED495D"/>
    <w:rsid w:val="00EE080B"/>
    <w:rsid w:val="00EE2C17"/>
    <w:rsid w:val="00EE7FAA"/>
    <w:rsid w:val="00EF4D50"/>
    <w:rsid w:val="00F0676B"/>
    <w:rsid w:val="00F12C6F"/>
    <w:rsid w:val="00F24B41"/>
    <w:rsid w:val="00F32A62"/>
    <w:rsid w:val="00F33DD2"/>
    <w:rsid w:val="00F37355"/>
    <w:rsid w:val="00F40937"/>
    <w:rsid w:val="00F40F06"/>
    <w:rsid w:val="00F43988"/>
    <w:rsid w:val="00F44609"/>
    <w:rsid w:val="00F52848"/>
    <w:rsid w:val="00F5301F"/>
    <w:rsid w:val="00F56CC2"/>
    <w:rsid w:val="00F6347A"/>
    <w:rsid w:val="00F65547"/>
    <w:rsid w:val="00F6713F"/>
    <w:rsid w:val="00F7655A"/>
    <w:rsid w:val="00F8477E"/>
    <w:rsid w:val="00F87ECC"/>
    <w:rsid w:val="00F96AFE"/>
    <w:rsid w:val="00F9770C"/>
    <w:rsid w:val="00FA1A84"/>
    <w:rsid w:val="00FA1EC4"/>
    <w:rsid w:val="00FA40D0"/>
    <w:rsid w:val="00FB187C"/>
    <w:rsid w:val="00FB4318"/>
    <w:rsid w:val="00FC29D3"/>
    <w:rsid w:val="00FC3C29"/>
    <w:rsid w:val="00FD0F58"/>
    <w:rsid w:val="00FD733A"/>
    <w:rsid w:val="00FE107D"/>
    <w:rsid w:val="00FF6436"/>
    <w:rsid w:val="00FF7B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9B767"/>
  <w15:chartTrackingRefBased/>
  <w15:docId w15:val="{1760E342-AC0C-4F89-93AB-5CEC74C8D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31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031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3169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3169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3169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3169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3169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3169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3169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3169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03169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3169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3169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3169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3169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3169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3169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3169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31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3169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3169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3169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3169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31695"/>
    <w:rPr>
      <w:i/>
      <w:iCs/>
      <w:color w:val="404040" w:themeColor="text1" w:themeTint="BF"/>
    </w:rPr>
  </w:style>
  <w:style w:type="paragraph" w:styleId="Paragrafoelenco">
    <w:name w:val="List Paragraph"/>
    <w:basedOn w:val="Normale"/>
    <w:uiPriority w:val="34"/>
    <w:qFormat/>
    <w:rsid w:val="00031695"/>
    <w:pPr>
      <w:ind w:left="720"/>
      <w:contextualSpacing/>
    </w:pPr>
  </w:style>
  <w:style w:type="character" w:styleId="Enfasiintensa">
    <w:name w:val="Intense Emphasis"/>
    <w:basedOn w:val="Carpredefinitoparagrafo"/>
    <w:uiPriority w:val="21"/>
    <w:qFormat/>
    <w:rsid w:val="00031695"/>
    <w:rPr>
      <w:i/>
      <w:iCs/>
      <w:color w:val="0F4761" w:themeColor="accent1" w:themeShade="BF"/>
    </w:rPr>
  </w:style>
  <w:style w:type="paragraph" w:styleId="Citazioneintensa">
    <w:name w:val="Intense Quote"/>
    <w:basedOn w:val="Normale"/>
    <w:next w:val="Normale"/>
    <w:link w:val="CitazioneintensaCarattere"/>
    <w:uiPriority w:val="30"/>
    <w:qFormat/>
    <w:rsid w:val="00031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31695"/>
    <w:rPr>
      <w:i/>
      <w:iCs/>
      <w:color w:val="0F4761" w:themeColor="accent1" w:themeShade="BF"/>
    </w:rPr>
  </w:style>
  <w:style w:type="character" w:styleId="Riferimentointenso">
    <w:name w:val="Intense Reference"/>
    <w:basedOn w:val="Carpredefinitoparagrafo"/>
    <w:uiPriority w:val="32"/>
    <w:qFormat/>
    <w:rsid w:val="00031695"/>
    <w:rPr>
      <w:b/>
      <w:bCs/>
      <w:smallCaps/>
      <w:color w:val="0F4761" w:themeColor="accent1" w:themeShade="BF"/>
      <w:spacing w:val="5"/>
    </w:rPr>
  </w:style>
  <w:style w:type="paragraph" w:styleId="Nessunaspaziatura">
    <w:name w:val="No Spacing"/>
    <w:link w:val="NessunaspaziaturaCarattere"/>
    <w:uiPriority w:val="1"/>
    <w:qFormat/>
    <w:rsid w:val="001C57A3"/>
    <w:pPr>
      <w:spacing w:after="0" w:line="240" w:lineRule="auto"/>
    </w:pPr>
    <w:rPr>
      <w:rFonts w:eastAsiaTheme="minorEastAsia"/>
      <w:kern w:val="0"/>
      <w:sz w:val="22"/>
      <w:szCs w:val="22"/>
      <w:lang w:eastAsia="it-IT"/>
      <w14:ligatures w14:val="none"/>
    </w:rPr>
  </w:style>
  <w:style w:type="character" w:customStyle="1" w:styleId="NessunaspaziaturaCarattere">
    <w:name w:val="Nessuna spaziatura Carattere"/>
    <w:basedOn w:val="Carpredefinitoparagrafo"/>
    <w:link w:val="Nessunaspaziatura"/>
    <w:uiPriority w:val="1"/>
    <w:rsid w:val="001C57A3"/>
    <w:rPr>
      <w:rFonts w:eastAsiaTheme="minorEastAsia"/>
      <w:kern w:val="0"/>
      <w:sz w:val="22"/>
      <w:szCs w:val="22"/>
      <w:lang w:eastAsia="it-IT"/>
      <w14:ligatures w14:val="none"/>
    </w:rPr>
  </w:style>
  <w:style w:type="paragraph" w:styleId="Intestazione">
    <w:name w:val="header"/>
    <w:basedOn w:val="Normale"/>
    <w:link w:val="IntestazioneCarattere"/>
    <w:uiPriority w:val="99"/>
    <w:unhideWhenUsed/>
    <w:rsid w:val="00A5763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57635"/>
  </w:style>
  <w:style w:type="paragraph" w:styleId="Pidipagina">
    <w:name w:val="footer"/>
    <w:basedOn w:val="Normale"/>
    <w:link w:val="PidipaginaCarattere"/>
    <w:uiPriority w:val="99"/>
    <w:unhideWhenUsed/>
    <w:rsid w:val="00A5763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57635"/>
  </w:style>
  <w:style w:type="paragraph" w:styleId="Testonotaapidipagina">
    <w:name w:val="footnote text"/>
    <w:basedOn w:val="Normale"/>
    <w:link w:val="TestonotaapidipaginaCarattere"/>
    <w:uiPriority w:val="99"/>
    <w:semiHidden/>
    <w:unhideWhenUsed/>
    <w:rsid w:val="00BA1C2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BA1C24"/>
    <w:rPr>
      <w:sz w:val="20"/>
      <w:szCs w:val="20"/>
    </w:rPr>
  </w:style>
  <w:style w:type="character" w:styleId="Rimandonotaapidipagina">
    <w:name w:val="footnote reference"/>
    <w:basedOn w:val="Carpredefinitoparagrafo"/>
    <w:uiPriority w:val="99"/>
    <w:semiHidden/>
    <w:unhideWhenUsed/>
    <w:rsid w:val="00BA1C24"/>
    <w:rPr>
      <w:vertAlign w:val="superscript"/>
    </w:rPr>
  </w:style>
  <w:style w:type="character" w:styleId="Collegamentoipertestuale">
    <w:name w:val="Hyperlink"/>
    <w:basedOn w:val="Carpredefinitoparagrafo"/>
    <w:uiPriority w:val="99"/>
    <w:unhideWhenUsed/>
    <w:rsid w:val="00867092"/>
    <w:rPr>
      <w:color w:val="467886" w:themeColor="hyperlink"/>
      <w:u w:val="single"/>
    </w:rPr>
  </w:style>
  <w:style w:type="character" w:styleId="Menzionenonrisolta">
    <w:name w:val="Unresolved Mention"/>
    <w:basedOn w:val="Carpredefinitoparagrafo"/>
    <w:uiPriority w:val="99"/>
    <w:semiHidden/>
    <w:unhideWhenUsed/>
    <w:rsid w:val="00867092"/>
    <w:rPr>
      <w:color w:val="605E5C"/>
      <w:shd w:val="clear" w:color="auto" w:fill="E1DFDD"/>
    </w:rPr>
  </w:style>
  <w:style w:type="paragraph" w:customStyle="1" w:styleId="FirstParagraph">
    <w:name w:val="First Paragraph"/>
    <w:basedOn w:val="Corpotesto"/>
    <w:next w:val="Corpotesto"/>
    <w:qFormat/>
    <w:rsid w:val="00E34CD3"/>
    <w:pPr>
      <w:spacing w:before="180" w:after="180" w:line="240" w:lineRule="auto"/>
    </w:pPr>
    <w:rPr>
      <w:kern w:val="0"/>
      <w:lang w:val="en-US"/>
      <w14:ligatures w14:val="none"/>
    </w:rPr>
  </w:style>
  <w:style w:type="paragraph" w:styleId="Corpotesto">
    <w:name w:val="Body Text"/>
    <w:basedOn w:val="Normale"/>
    <w:link w:val="CorpotestoCarattere"/>
    <w:uiPriority w:val="99"/>
    <w:unhideWhenUsed/>
    <w:rsid w:val="00E34CD3"/>
    <w:pPr>
      <w:spacing w:after="120"/>
    </w:pPr>
  </w:style>
  <w:style w:type="character" w:customStyle="1" w:styleId="CorpotestoCarattere">
    <w:name w:val="Corpo testo Carattere"/>
    <w:basedOn w:val="Carpredefinitoparagrafo"/>
    <w:link w:val="Corpotesto"/>
    <w:uiPriority w:val="99"/>
    <w:rsid w:val="00E34CD3"/>
  </w:style>
  <w:style w:type="character" w:customStyle="1" w:styleId="VerbatimChar">
    <w:name w:val="Verbatim Char"/>
    <w:basedOn w:val="Carpredefinitoparagrafo"/>
    <w:link w:val="SourceCode"/>
    <w:rsid w:val="00CC40C9"/>
    <w:rPr>
      <w:rFonts w:ascii="Consolas" w:hAnsi="Consolas"/>
      <w:sz w:val="22"/>
    </w:rPr>
  </w:style>
  <w:style w:type="paragraph" w:customStyle="1" w:styleId="SourceCode">
    <w:name w:val="Source Code"/>
    <w:basedOn w:val="Normale"/>
    <w:link w:val="VerbatimChar"/>
    <w:rsid w:val="00CC40C9"/>
    <w:pPr>
      <w:wordWrap w:val="0"/>
      <w:spacing w:after="200" w:line="240" w:lineRule="auto"/>
    </w:pPr>
    <w:rPr>
      <w:rFonts w:ascii="Consolas" w:hAnsi="Consolas"/>
      <w:sz w:val="22"/>
    </w:rPr>
  </w:style>
  <w:style w:type="table" w:styleId="Grigliatabella">
    <w:name w:val="Table Grid"/>
    <w:basedOn w:val="Tabellanormale"/>
    <w:uiPriority w:val="39"/>
    <w:rsid w:val="00775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delblocco">
    <w:name w:val="Block Text"/>
    <w:basedOn w:val="Corpotesto"/>
    <w:next w:val="Corpotesto"/>
    <w:uiPriority w:val="9"/>
    <w:unhideWhenUsed/>
    <w:qFormat/>
    <w:rsid w:val="00A77E74"/>
    <w:pPr>
      <w:spacing w:before="100" w:after="100" w:line="240" w:lineRule="auto"/>
      <w:ind w:left="480" w:right="480"/>
    </w:pPr>
    <w:rPr>
      <w:kern w:val="0"/>
      <w:lang w:val="en-US"/>
      <w14:ligatures w14:val="none"/>
    </w:rPr>
  </w:style>
  <w:style w:type="paragraph" w:customStyle="1" w:styleId="Compact">
    <w:name w:val="Compact"/>
    <w:basedOn w:val="Corpotesto"/>
    <w:qFormat/>
    <w:rsid w:val="00AF3FC7"/>
    <w:pPr>
      <w:spacing w:before="36" w:after="36"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amp.rtve.es/noticias/20260909/gobierno-publica-informes-inteligencia-mes-previo-entrada-masiva-ceuta/17217776.shtml?utm_source=chatgpt.com"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yperlink" Target="https://www.lamoncloa.gob.es/consejodeministros/paginas/informes-y-comunicaciones-situacion-ceuta.aspx?utm_source=chatgpt.com" TargetMode="External"/><Relationship Id="rId2" Type="http://schemas.openxmlformats.org/officeDocument/2006/relationships/customXml" Target="../customXml/item2.xml"/><Relationship Id="rId16" Type="http://schemas.openxmlformats.org/officeDocument/2006/relationships/hyperlink" Target="https://doi.org/10.1080/02684527.2026.2688516?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academic.oup.com/stanford-scholarship-online/book/29634?utm_source=chatgpt.com" TargetMode="Externa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lab4int.com" TargetMode="External"/><Relationship Id="rId14" Type="http://schemas.openxmlformats.org/officeDocument/2006/relationships/hyperlink" Target="https://www.cambridge.org/core/journals/world-politics/article/abs/analysis-war-and-decision-why-intelligence-failures-are-inevitable/FB02E0C3A2E0EC5567C678044B3EB828?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5E2F1B-FE69-4B13-9C64-224910894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991</TotalTime>
  <Pages>10</Pages>
  <Words>2432</Words>
  <Characters>15547</Characters>
  <Application>Microsoft Office Word</Application>
  <DocSecurity>0</DocSecurity>
  <Lines>310</Lines>
  <Paragraphs>214</Paragraphs>
  <ScaleCrop>false</ScaleCrop>
  <HeadingPairs>
    <vt:vector size="2" baseType="variant">
      <vt:variant>
        <vt:lpstr>Titolo</vt:lpstr>
      </vt:variant>
      <vt:variant>
        <vt:i4>1</vt:i4>
      </vt:variant>
    </vt:vector>
  </HeadingPairs>
  <TitlesOfParts>
    <vt:vector size="1" baseType="lpstr">
      <vt:lpstr>Dalla guerra cognitiva alla contro-OSINT</vt:lpstr>
    </vt:vector>
  </TitlesOfParts>
  <Company/>
  <LinksUpToDate>false</LinksUpToDate>
  <CharactersWithSpaces>17765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Dalla guerra cognitiva alla contro-OSINT</dc:title>
  <dc:creator>Giovanni Conio</dc:creator>
  <dc:description/>
  <cp:lastModifiedBy>Giovanni Conio</cp:lastModifiedBy>
  <cp:revision>539</cp:revision>
  <cp:lastPrinted>2026-09-10T08:01:00Z</cp:lastPrinted>
  <dcterms:created xsi:type="dcterms:W3CDTF">2026-05-29T12:18:00Z</dcterms:created>
  <dcterms:modified xsi:type="dcterms:W3CDTF">2026-09-10T08:02:00Z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