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DejaVu Sans" w:hAnsi="DejaVu Sans"/>
          <w:b/>
          <w:color w:val="9B1C1C"/>
          <w:sz w:val="24"/>
        </w:rPr>
        <w:t>CONTENUTO DI COLLAUDO - NON PUBBLICARE</w:t>
      </w:r>
    </w:p>
    <w:p>
      <w:pPr>
        <w:spacing w:after="160"/>
        <w:jc w:val="center"/>
      </w:pPr>
      <w:r>
        <w:rPr>
          <w:rFonts w:ascii="DejaVu Sans" w:hAnsi="DejaVu Sans"/>
          <w:b/>
          <w:color w:val="0B2545"/>
          <w:sz w:val="48"/>
        </w:rPr>
        <w:t>Segnali deboli e indicatori: esercizio controllato v0.8</w:t>
      </w:r>
    </w:p>
    <w:p>
      <w:pPr>
        <w:spacing w:after="440"/>
        <w:jc w:val="center"/>
      </w:pPr>
      <w:r>
        <w:rPr>
          <w:rFonts w:ascii="DejaVu Sans" w:hAnsi="DejaVu Sans"/>
          <w:i/>
          <w:color w:val="5A626C"/>
          <w:sz w:val="24"/>
        </w:rPr>
        <w:t>Contenuto fittizio per il collaudo end-to-end di Lab4Int Editorial Studio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0B2545"/>
                <w:sz w:val="19"/>
              </w:rPr>
              <w:t>Autore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sz w:val="19"/>
              </w:rPr>
              <w:t>Giovanni Conio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0B2545"/>
                <w:sz w:val="19"/>
              </w:rPr>
              <w:t>Slug richiesto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sz w:val="19"/>
              </w:rPr>
              <w:t>collaudo-publishing-v08-20260812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0B2545"/>
                <w:sz w:val="19"/>
              </w:rPr>
              <w:t>Finalità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sz w:val="19"/>
              </w:rPr>
              <w:t>Collaudo tecnico controllato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b/>
                <w:color w:val="0B2545"/>
                <w:sz w:val="19"/>
              </w:rPr>
              <w:t>Stato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" w:hAnsi="DejaVu Sans"/>
                <w:sz w:val="19"/>
              </w:rPr>
              <w:t>Non destinato alla pubblicazione</w:t>
            </w:r>
          </w:p>
        </w:tc>
      </w:tr>
    </w:tbl>
    <w:p>
      <w:pPr>
        <w:spacing w:after="80"/>
      </w:pPr>
    </w:p>
    <w:p>
      <w:pPr>
        <w:pStyle w:val="Heading1"/>
      </w:pPr>
      <w:r>
        <w:t>Sintesi</w:t>
      </w:r>
    </w:p>
    <w:p>
      <w:r>
        <w:t>Un breve esercizio metodologico, privo di riferimenti operativi o fattuali, creato esclusivamente per verificare il flusso tecnico di pubblicazione della versione 0.8.</w:t>
      </w:r>
    </w:p>
    <w:p>
      <w:pPr>
        <w:pStyle w:val="Heading1"/>
      </w:pPr>
      <w:r>
        <w:t>Dal segnale all'indicatore</w:t>
      </w:r>
    </w:p>
    <w:p>
      <w:r>
        <w:t>Un segnale debole non è una prova e non autorizza da solo una conclusione. Diventa analiticamente utile quando viene descritto in forma osservabile, collegato a una domanda e confrontato con spiegazioni alternative.</w:t>
      </w:r>
    </w:p>
    <w:p>
      <w:r>
        <w:t>Questo testo usa uno scenario interamente fittizio: una rete di centri di ricerca nota variazioni nel ritmo di pubblicazione di documenti aperti. L'esercizio non riguarda soggetti reali e serve soltanto a verificare titoli, paragrafi e caratteri accentati. Perché l'analisi sia utile, ciò che è osservato va distinto dall'interpretazione più plausibile.</w:t>
      </w:r>
    </w:p>
    <w:p>
      <w:pPr>
        <w:pStyle w:val="Heading1"/>
      </w:pPr>
      <w:r>
        <w:t>Tre passaggi di metodo</w:t>
      </w:r>
    </w:p>
    <w:p>
      <w:pPr>
        <w:pStyle w:val="ListNumber"/>
        <w:spacing w:after="120"/>
        <w:ind w:left="720" w:hanging="360"/>
      </w:pPr>
      <w:r>
        <w:t>Definire l'osservabile: descrivere cosa dovrebbe essere rilevato senza incorporare il giudizio.</w:t>
      </w:r>
    </w:p>
    <w:p>
      <w:pPr>
        <w:pStyle w:val="ListNumber"/>
        <w:spacing w:after="120"/>
        <w:ind w:left="720" w:hanging="360"/>
      </w:pPr>
      <w:r>
        <w:t>Stabilire la direzione: indicare quale sviluppo renderebbe il segnale più o meno coerente.</w:t>
      </w:r>
    </w:p>
    <w:p>
      <w:pPr>
        <w:pStyle w:val="ListNumber"/>
        <w:spacing w:after="120"/>
        <w:ind w:left="720" w:hanging="360"/>
      </w:pPr>
      <w:r>
        <w:t>Fissare la verifica: specificare fonte, frequenza di controllo e soglia di aggiornamento.</w:t>
      </w:r>
    </w:p>
    <w:p>
      <w:r>
        <w:br w:type="page"/>
      </w:r>
    </w:p>
    <w:p>
      <w:pPr>
        <w:pStyle w:val="Heading1"/>
      </w:pPr>
      <w:r>
        <w:t>Esempio fittizio</w:t>
      </w:r>
    </w:p>
    <w:p>
      <w:r>
        <w:t>Domanda di esercizio: il cambiamento osservato riflette una scelta editoriale stabile oppure una variazione temporanea?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248"/>
            <w:shd w:fill="0B254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Formulazione</w:t>
            </w:r>
          </w:p>
        </w:tc>
        <w:tc>
          <w:tcPr>
            <w:tcW w:type="dxa" w:w="2880"/>
            <w:shd w:fill="0B254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8"/>
              </w:rPr>
              <w:t>Criterio di controllo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Segnale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Riduzione della frequenza di pubblicazione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Serie temporale di quattro settimane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Indicatore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Due cicli consecutivi sotto la soglia definita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Conferma su fonti aperte omogenee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Alternativa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Pausa tecnica o calendario editoriale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/>
                <w:sz w:val="18"/>
              </w:rPr>
              <w:t>Ricerca di spiegazioni concorrenti</w:t>
            </w:r>
          </w:p>
        </w:tc>
      </w:tr>
    </w:tbl>
    <w:p>
      <w:pPr>
        <w:pStyle w:val="Heading1"/>
      </w:pPr>
      <w:r>
        <w:t>Criteri di buona analisi</w:t>
      </w:r>
    </w:p>
    <w:p>
      <w:pPr>
        <w:pStyle w:val="ListBullet"/>
        <w:spacing w:after="100"/>
        <w:ind w:left="720" w:hanging="360"/>
      </w:pPr>
      <w:r>
        <w:t>separare il dato osservato dalla sua interpretazione;</w:t>
      </w:r>
    </w:p>
    <w:p>
      <w:pPr>
        <w:pStyle w:val="ListBullet"/>
        <w:spacing w:after="100"/>
        <w:ind w:left="720" w:hanging="360"/>
      </w:pPr>
      <w:r>
        <w:t>registrare anche le evidenze che indeboliscono la valutazione;</w:t>
      </w:r>
    </w:p>
    <w:p>
      <w:pPr>
        <w:pStyle w:val="ListBullet"/>
        <w:spacing w:after="100"/>
        <w:ind w:left="720" w:hanging="360"/>
      </w:pPr>
      <w:r>
        <w:t>aggiornare il giudizio quando cambia il quadro informativo;</w:t>
      </w:r>
    </w:p>
    <w:p>
      <w:pPr>
        <w:pStyle w:val="ListBullet"/>
        <w:spacing w:after="100"/>
        <w:ind w:left="720" w:hanging="360"/>
      </w:pPr>
      <w:r>
        <w:t>comunicare in modo trasparente limiti e livello di confidenza.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9B1C1C"/>
                <w:sz w:val="20"/>
              </w:rPr>
              <w:t>Questo documento non contiene informazioni reali e non deve essere pubblicato. Al termine del collaudo, il contenuto e tutti i suoi artefatti devono essere rimossi.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/>
        <w:color w:val="9B1C1C"/>
        <w:sz w:val="16"/>
      </w:rPr>
      <w:t>CONTENUTO DI COLLAUDO - NON PUBBLICARE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/>
        <w:b/>
        <w:color w:val="5A626C"/>
        <w:sz w:val="16"/>
      </w:rPr>
      <w:t>LAB4INT EDITORIAL STUDIO | COLLAUDO v0.8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DejaVu Sans" w:hAnsi="DejaVu Sans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Segnali deboli e indicatori: esercizio controllato v0.8</dc:title>
  <dc:subject>Collaudo tecnico Lab4Int Editorial Studio v0.8</dc:subject>
  <dc:creator>Lab4Int</dc:creator>
  <cp:keywords>collaudo, test, non pubblicare</cp:keywords>
  <dc:description>CONTENUTO DI COLLAUDO - NON PUBBLICARE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