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0F318" w14:textId="389C65C5" w:rsidR="002E0E0A" w:rsidRPr="002E0E0A" w:rsidRDefault="00CC6F37" w:rsidP="002E0E0A">
      <w:r>
        <w:rPr>
          <w:noProof/>
        </w:rPr>
        <mc:AlternateContent>
          <mc:Choice Requires="wps">
            <w:drawing>
              <wp:anchor distT="0" distB="0" distL="114300" distR="114300" simplePos="0" relativeHeight="251656190" behindDoc="0" locked="0" layoutInCell="1" allowOverlap="1" wp14:anchorId="53F71939" wp14:editId="54C42F92">
                <wp:simplePos x="0" y="0"/>
                <wp:positionH relativeFrom="page">
                  <wp:posOffset>4547870</wp:posOffset>
                </wp:positionH>
                <wp:positionV relativeFrom="paragraph">
                  <wp:posOffset>-916305</wp:posOffset>
                </wp:positionV>
                <wp:extent cx="3060000" cy="10714008"/>
                <wp:effectExtent l="0" t="0" r="7620" b="0"/>
                <wp:wrapNone/>
                <wp:docPr id="648620557" name="Rettangolo 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000" cy="10714008"/>
                        </a:xfrm>
                        <a:prstGeom prst="rect">
                          <a:avLst/>
                        </a:prstGeom>
                        <a:solidFill>
                          <a:schemeClr val="tx1"/>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116735D" id="Rettangolo 460" o:spid="_x0000_s1026" style="position:absolute;margin-left:358.1pt;margin-top:-72.15pt;width:240.95pt;height:843.6pt;z-index:25165619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" fillcolor="black [3213]" stroked="f" strokecolor="#d8d8d8">
                <w10:wrap anchorx="page"/>
              </v:rect>
            </w:pict>
          </mc:Fallback>
        </mc:AlternateContent>
      </w:r>
    </w:p>
    <w:sdt>
      <w:sdtPr>
        <w:id w:val="-1498113227"/>
        <w:docPartObj>
          <w:docPartGallery w:val="Cover Pages"/>
          <w:docPartUnique/>
        </w:docPartObj>
      </w:sdtPr>
      <w:sdtEndPr/>
      <w:sdtContent>
        <w:p w14:paraId="7696655D" w14:textId="36355F79" w:rsidR="001C57A3" w:rsidRDefault="007A750F">
          <w:r>
            <w:rPr>
              <w:noProof/>
            </w:rPr>
            <w:drawing>
              <wp:anchor distT="0" distB="0" distL="114300" distR="114300" simplePos="0" relativeHeight="251674624" behindDoc="0" locked="0" layoutInCell="1" allowOverlap="1" wp14:anchorId="1D7D82E0" wp14:editId="19D388A7">
                <wp:simplePos x="0" y="0"/>
                <wp:positionH relativeFrom="margin">
                  <wp:posOffset>4984954</wp:posOffset>
                </wp:positionH>
                <wp:positionV relativeFrom="paragraph">
                  <wp:posOffset>6350</wp:posOffset>
                </wp:positionV>
                <wp:extent cx="806802" cy="900000"/>
                <wp:effectExtent l="0" t="0" r="0" b="0"/>
                <wp:wrapNone/>
                <wp:docPr id="1512849452" name="Immagine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49452" name="Immagine 5">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6802"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BBA3B0" w14:textId="201F8CE5" w:rsidR="001C57A3" w:rsidRDefault="00524517">
          <w:r>
            <w:rPr>
              <w:noProof/>
            </w:rPr>
            <mc:AlternateContent>
              <mc:Choice Requires="wps">
                <w:drawing>
                  <wp:anchor distT="0" distB="0" distL="114300" distR="114300" simplePos="0" relativeHeight="251678720" behindDoc="0" locked="0" layoutInCell="1" allowOverlap="1" wp14:anchorId="7733AA9D" wp14:editId="6C624E96">
                    <wp:simplePos x="0" y="0"/>
                    <wp:positionH relativeFrom="column">
                      <wp:posOffset>4209762</wp:posOffset>
                    </wp:positionH>
                    <wp:positionV relativeFrom="paragraph">
                      <wp:posOffset>8275320</wp:posOffset>
                    </wp:positionV>
                    <wp:extent cx="2618072" cy="838200"/>
                    <wp:effectExtent l="0" t="0" r="0" b="0"/>
                    <wp:wrapNone/>
                    <wp:docPr id="158900133" name="Rettango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8072" cy="838200"/>
                            </a:xfrm>
                            <a:prstGeom prst="rect">
                              <a:avLst/>
                            </a:prstGeom>
                            <a:noFill/>
                          </wps:spPr>
                          <wps:txbx>
                            <w:txbxContent>
                              <w:sdt>
                                <w:sdtPr>
                                  <w:rPr>
                                    <w:color w:val="FFFFFF" w:themeColor="background1"/>
                                    <w:sz w:val="28"/>
                                    <w:szCs w:val="28"/>
                                  </w:rPr>
                                  <w:alias w:val="Autore"/>
                                  <w:id w:val="1380359617"/>
                                  <w:dataBinding w:prefixMappings="xmlns:ns0='http://schemas.openxmlformats.org/package/2006/metadata/core-properties' xmlns:ns1='http://purl.org/dc/elements/1.1/'" w:xpath="/ns0:coreProperties[1]/ns1:creator[1]" w:storeItemID="{6C3C8BC8-F283-45AE-878A-BAB7291924A1}"/>
                                  <w:text/>
                                </w:sdtPr>
                                <w:sdtEndPr/>
                                <w:sdtContent>
                                  <w:p w14:paraId="0BDFCE8A" w14:textId="77777777" w:rsidR="001C57A3" w:rsidRPr="00057608" w:rsidRDefault="001C57A3">
                                    <w:pPr>
                                      <w:pStyle w:val="Nessunaspaziatura"/>
                                      <w:spacing w:line="360" w:lineRule="auto"/>
                                      <w:rPr>
                                        <w:color w:val="FFFFFF" w:themeColor="background1"/>
                                      </w:rPr>
                                    </w:pPr>
                                    <w:r w:rsidRPr="00057608">
                                      <w:rPr>
                                        <w:color w:val="FFFFFF" w:themeColor="background1"/>
                                        <w:sz w:val="28"/>
                                        <w:szCs w:val="28"/>
                                      </w:rPr>
                                      <w:t>Giovanni Conio</w:t>
                                    </w:r>
                                  </w:p>
                                </w:sdtContent>
                              </w:sdt>
                              <w:sdt>
                                <w:sdtPr>
                                  <w:rPr>
                                    <w:color w:val="FFFFFF" w:themeColor="background1"/>
                                  </w:rPr>
                                  <w:alias w:val="Data"/>
                                  <w:id w:val="1724480474"/>
                                  <w:dataBinding w:prefixMappings="xmlns:ns0='http://schemas.microsoft.com/office/2006/coverPageProps'" w:xpath="/ns0:CoverPageProperties[1]/ns0:PublishDate[1]" w:storeItemID="{55AF091B-3C7A-41E3-B477-F2FDAA23CFDA}"/>
                                  <w:date w:fullDate="2026-08-21T00:00:00Z">
                                    <w:dateFormat w:val="dd/MM/yyyy"/>
                                    <w:lid w:val="it-IT"/>
                                    <w:storeMappedDataAs w:val="dateTime"/>
                                    <w:calendar w:val="gregorian"/>
                                  </w:date>
                                </w:sdtPr>
                                <w:sdtEndPr/>
                                <w:sdtContent>
                                  <w:p w14:paraId="240347A5" w14:textId="6144CFD1" w:rsidR="001C57A3" w:rsidRPr="00446DAF" w:rsidRDefault="00195D58" w:rsidP="001C57A3">
                                    <w:pPr>
                                      <w:pStyle w:val="Nessunaspaziatura"/>
                                      <w:spacing w:line="360" w:lineRule="auto"/>
                                      <w:rPr>
                                        <w:rFonts w:eastAsiaTheme="minorHAnsi"/>
                                        <w:color w:val="FFFFFF" w:themeColor="background1"/>
                                        <w:kern w:val="2"/>
                                        <w:lang w:eastAsia="en-US"/>
                                        <w14:ligatures w14:val="standardContextual"/>
                                      </w:rPr>
                                    </w:pPr>
                                    <w:r>
                                      <w:rPr>
                                        <w:color w:val="FFFFFF" w:themeColor="background1"/>
                                      </w:rPr>
                                      <w:t>21</w:t>
                                    </w:r>
                                    <w:r w:rsidR="001C57A3" w:rsidRPr="00446DAF">
                                      <w:rPr>
                                        <w:color w:val="FFFFFF" w:themeColor="background1"/>
                                      </w:rPr>
                                      <w:t>/0</w:t>
                                    </w:r>
                                    <w:r w:rsidR="00527CEA">
                                      <w:rPr>
                                        <w:color w:val="FFFFFF" w:themeColor="background1"/>
                                      </w:rPr>
                                      <w:t>8</w:t>
                                    </w:r>
                                    <w:r w:rsidR="001C57A3" w:rsidRPr="00446DAF">
                                      <w:rPr>
                                        <w:color w:val="FFFFFF" w:themeColor="background1"/>
                                      </w:rPr>
                                      <w:t>/2026</w:t>
                                    </w:r>
                                  </w:p>
                                </w:sdtContent>
                              </w:sdt>
                              <w:p w14:paraId="2CE051AB" w14:textId="77777777" w:rsidR="001C57A3" w:rsidRPr="00057608" w:rsidRDefault="001C57A3">
                                <w:pPr>
                                  <w:pStyle w:val="Nessunaspaziatura"/>
                                  <w:spacing w:line="360" w:lineRule="auto"/>
                                  <w:rPr>
                                    <w:color w:val="FFFFFF" w:themeColor="background1"/>
                                  </w:rPr>
                                </w:pPr>
                              </w:p>
                              <w:p w14:paraId="34A9E6F6" w14:textId="77777777" w:rsidR="001C57A3" w:rsidRPr="00057608" w:rsidRDefault="001C57A3">
                                <w:pPr>
                                  <w:pStyle w:val="Nessunaspaziatura"/>
                                  <w:spacing w:line="360" w:lineRule="auto"/>
                                  <w:rPr>
                                    <w:color w:val="FFFFFF" w:themeColor="background1"/>
                                  </w:rPr>
                                </w:pPr>
                              </w:p>
                            </w:txbxContent>
                          </wps:txbx>
                          <wps:bodyPr rot="0" vert="horz" wrap="square" lIns="365760" tIns="182880" rIns="182880" bIns="18288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7733AA9D" id="Rettangolo 9" o:spid="_x0000_s1026" style="position:absolute;margin-left:331.5pt;margin-top:651.6pt;width:206.15pt;height:6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" filled="f" stroked="f">
                    <v:textbox inset="28.8pt,14.4pt,14.4pt,14.4pt">
                      <w:txbxContent>
                        <w:sdt>
                          <w:sdtPr>
                            <w:rPr>
                              <w:color w:val="FFFFFF" w:themeColor="background1"/>
                              <w:sz w:val="28"/>
                              <w:szCs w:val="28"/>
                            </w:rPr>
                            <w:alias w:val="Autore"/>
                            <w:id w:val="1380359617"/>
                            <w:dataBinding w:prefixMappings="xmlns:ns0='http://schemas.openxmlformats.org/package/2006/metadata/core-properties' xmlns:ns1='http://purl.org/dc/elements/1.1/'" w:xpath="/ns0:coreProperties[1]/ns1:creator[1]" w:storeItemID="{6C3C8BC8-F283-45AE-878A-BAB7291924A1}"/>
                            <w:text/>
                          </w:sdtPr>
                          <w:sdtEndPr/>
                          <w:sdtContent>
                            <w:p w14:paraId="0BDFCE8A" w14:textId="77777777" w:rsidR="001C57A3" w:rsidRPr="00057608" w:rsidRDefault="001C57A3">
                              <w:pPr>
                                <w:pStyle w:val="Nessunaspaziatura"/>
                                <w:spacing w:line="360" w:lineRule="auto"/>
                                <w:rPr>
                                  <w:color w:val="FFFFFF" w:themeColor="background1"/>
                                </w:rPr>
                              </w:pPr>
                              <w:r w:rsidRPr="00057608">
                                <w:rPr>
                                  <w:color w:val="FFFFFF" w:themeColor="background1"/>
                                  <w:sz w:val="28"/>
                                  <w:szCs w:val="28"/>
                                </w:rPr>
                                <w:t>Giovanni Conio</w:t>
                              </w:r>
                            </w:p>
                          </w:sdtContent>
                        </w:sdt>
                        <w:sdt>
                          <w:sdtPr>
                            <w:rPr>
                              <w:color w:val="FFFFFF" w:themeColor="background1"/>
                            </w:rPr>
                            <w:alias w:val="Data"/>
                            <w:id w:val="1724480474"/>
                            <w:dataBinding w:prefixMappings="xmlns:ns0='http://schemas.microsoft.com/office/2006/coverPageProps'" w:xpath="/ns0:CoverPageProperties[1]/ns0:PublishDate[1]" w:storeItemID="{55AF091B-3C7A-41E3-B477-F2FDAA23CFDA}"/>
                            <w:date w:fullDate="2026-08-21T00:00:00Z">
                              <w:dateFormat w:val="dd/MM/yyyy"/>
                              <w:lid w:val="it-IT"/>
                              <w:storeMappedDataAs w:val="dateTime"/>
                              <w:calendar w:val="gregorian"/>
                            </w:date>
                          </w:sdtPr>
                          <w:sdtEndPr/>
                          <w:sdtContent>
                            <w:p w14:paraId="240347A5" w14:textId="6144CFD1" w:rsidR="001C57A3" w:rsidRPr="00446DAF" w:rsidRDefault="00195D58" w:rsidP="001C57A3">
                              <w:pPr>
                                <w:pStyle w:val="Nessunaspaziatura"/>
                                <w:spacing w:line="360" w:lineRule="auto"/>
                                <w:rPr>
                                  <w:rFonts w:eastAsiaTheme="minorHAnsi"/>
                                  <w:color w:val="FFFFFF" w:themeColor="background1"/>
                                  <w:kern w:val="2"/>
                                  <w:lang w:eastAsia="en-US"/>
                                  <w14:ligatures w14:val="standardContextual"/>
                                </w:rPr>
                              </w:pPr>
                              <w:r>
                                <w:rPr>
                                  <w:color w:val="FFFFFF" w:themeColor="background1"/>
                                </w:rPr>
                                <w:t>21</w:t>
                              </w:r>
                              <w:r w:rsidR="001C57A3" w:rsidRPr="00446DAF">
                                <w:rPr>
                                  <w:color w:val="FFFFFF" w:themeColor="background1"/>
                                </w:rPr>
                                <w:t>/0</w:t>
                              </w:r>
                              <w:r w:rsidR="00527CEA">
                                <w:rPr>
                                  <w:color w:val="FFFFFF" w:themeColor="background1"/>
                                </w:rPr>
                                <w:t>8</w:t>
                              </w:r>
                              <w:r w:rsidR="001C57A3" w:rsidRPr="00446DAF">
                                <w:rPr>
                                  <w:color w:val="FFFFFF" w:themeColor="background1"/>
                                </w:rPr>
                                <w:t>/2026</w:t>
                              </w:r>
                            </w:p>
                          </w:sdtContent>
                        </w:sdt>
                        <w:p w14:paraId="2CE051AB" w14:textId="77777777" w:rsidR="001C57A3" w:rsidRPr="00057608" w:rsidRDefault="001C57A3">
                          <w:pPr>
                            <w:pStyle w:val="Nessunaspaziatura"/>
                            <w:spacing w:line="360" w:lineRule="auto"/>
                            <w:rPr>
                              <w:color w:val="FFFFFF" w:themeColor="background1"/>
                            </w:rPr>
                          </w:pPr>
                        </w:p>
                        <w:p w14:paraId="34A9E6F6" w14:textId="77777777" w:rsidR="001C57A3" w:rsidRPr="00057608" w:rsidRDefault="001C57A3">
                          <w:pPr>
                            <w:pStyle w:val="Nessunaspaziatura"/>
                            <w:spacing w:line="360" w:lineRule="auto"/>
                            <w:rPr>
                              <w:color w:val="FFFFFF" w:themeColor="background1"/>
                            </w:rPr>
                          </w:pPr>
                        </w:p>
                      </w:txbxContent>
                    </v:textbox>
                  </v:rect>
                </w:pict>
              </mc:Fallback>
            </mc:AlternateContent>
          </w:r>
          <w:r w:rsidRPr="002E0E0A">
            <w:rPr>
              <w:noProof/>
            </w:rPr>
            <w:drawing>
              <wp:anchor distT="0" distB="0" distL="114300" distR="114300" simplePos="0" relativeHeight="251657215" behindDoc="0" locked="0" layoutInCell="1" allowOverlap="1" wp14:anchorId="10D458D7" wp14:editId="1712AF12">
                <wp:simplePos x="0" y="0"/>
                <wp:positionH relativeFrom="page">
                  <wp:align>left</wp:align>
                </wp:positionH>
                <wp:positionV relativeFrom="paragraph">
                  <wp:posOffset>1708030</wp:posOffset>
                </wp:positionV>
                <wp:extent cx="7634759" cy="6997077"/>
                <wp:effectExtent l="0" t="0" r="4445" b="0"/>
                <wp:wrapNone/>
                <wp:docPr id="181021565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34759" cy="6997077"/>
                        </a:xfrm>
                        <a:prstGeom prst="rect">
                          <a:avLst/>
                        </a:prstGeom>
                        <a:noFill/>
                        <a:ln>
                          <a:noFill/>
                        </a:ln>
                      </pic:spPr>
                    </pic:pic>
                  </a:graphicData>
                </a:graphic>
                <wp14:sizeRelH relativeFrom="page">
                  <wp14:pctWidth>0</wp14:pctWidth>
                </wp14:sizeRelH>
                <wp14:sizeRelV relativeFrom="page">
                  <wp14:pctHeight>0</wp14:pctHeight>
                </wp14:sizeRelV>
              </wp:anchor>
            </w:drawing>
          </w:r>
          <w:r w:rsidR="00A141C0">
            <w:rPr>
              <w:noProof/>
            </w:rPr>
            <mc:AlternateContent>
              <mc:Choice Requires="wps">
                <w:drawing>
                  <wp:anchor distT="0" distB="0" distL="114300" distR="114300" simplePos="0" relativeHeight="251662336" behindDoc="0" locked="0" layoutInCell="0" allowOverlap="1" wp14:anchorId="7801D786" wp14:editId="72194BFD">
                    <wp:simplePos x="0" y="0"/>
                    <wp:positionH relativeFrom="page">
                      <wp:align>left</wp:align>
                    </wp:positionH>
                    <wp:positionV relativeFrom="page">
                      <wp:posOffset>2540682</wp:posOffset>
                    </wp:positionV>
                    <wp:extent cx="7548241" cy="1122680"/>
                    <wp:effectExtent l="0" t="0" r="15240" b="20320"/>
                    <wp:wrapNone/>
                    <wp:docPr id="463" name="Rettango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8241" cy="1122680"/>
                            </a:xfrm>
                            <a:prstGeom prst="rect">
                              <a:avLst/>
                            </a:prstGeom>
                            <a:solidFill>
                              <a:schemeClr val="tx1"/>
                            </a:solidFill>
                            <a:ln w="19050">
                              <a:solidFill>
                                <a:schemeClr val="tx1"/>
                              </a:solidFill>
                              <a:miter lim="800000"/>
                              <a:headEnd/>
                              <a:tailEnd/>
                            </a:ln>
                          </wps:spPr>
                          <wps:txbx>
                            <w:txbxContent>
                              <w:p w14:paraId="1D82BC4F" w14:textId="35E55039" w:rsidR="001C57A3" w:rsidRPr="00146968" w:rsidRDefault="00867684" w:rsidP="0021091C">
                                <w:pPr>
                                  <w:pStyle w:val="Nessunaspaziatura"/>
                                  <w:jc w:val="center"/>
                                  <w:rPr>
                                    <w:color w:val="FFFFFF" w:themeColor="background1"/>
                                    <w:sz w:val="56"/>
                                    <w:szCs w:val="56"/>
                                  </w:rPr>
                                </w:pPr>
                                <w:r w:rsidRPr="00867684">
                                  <w:rPr>
                                    <w:color w:val="FFFFFF" w:themeColor="background1"/>
                                    <w:sz w:val="56"/>
                                    <w:szCs w:val="56"/>
                                  </w:rPr>
                                  <w:t>Un indicatore non è una previsione</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801D786" id="Rettangolo 16" o:spid="_x0000_s1027" style="position:absolute;margin-left:0;margin-top:200.05pt;width:594.35pt;height:88.4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" o:allowincell="f" fillcolor="black [3213]" strokecolor="black [3213]" strokeweight="1.5pt">
                    <v:textbox inset="14.4pt,,14.4pt">
                      <w:txbxContent>
                        <w:p w14:paraId="1D82BC4F" w14:textId="35E55039" w:rsidR="001C57A3" w:rsidRPr="00146968" w:rsidRDefault="00867684" w:rsidP="0021091C">
                          <w:pPr>
                            <w:pStyle w:val="Nessunaspaziatura"/>
                            <w:jc w:val="center"/>
                            <w:rPr>
                              <w:color w:val="FFFFFF" w:themeColor="background1"/>
                              <w:sz w:val="56"/>
                              <w:szCs w:val="56"/>
                            </w:rPr>
                          </w:pPr>
                          <w:r w:rsidRPr="00867684">
                            <w:rPr>
                              <w:color w:val="FFFFFF" w:themeColor="background1"/>
                              <w:sz w:val="56"/>
                              <w:szCs w:val="56"/>
                            </w:rPr>
                            <w:t>Un indicatore non è una previsione</w:t>
                          </w:r>
                        </w:p>
                      </w:txbxContent>
                    </v:textbox>
                    <w10:wrap anchorx="page" anchory="page"/>
                  </v:rect>
                </w:pict>
              </mc:Fallback>
            </mc:AlternateContent>
          </w:r>
          <w:r w:rsidR="001C57A3">
            <w:br w:type="page"/>
          </w:r>
        </w:p>
      </w:sdtContent>
    </w:sdt>
    <w:p w14:paraId="560176DB" w14:textId="77777777" w:rsidR="006D0CB3" w:rsidRPr="006D0CB3" w:rsidRDefault="006D0CB3" w:rsidP="00D4194E">
      <w:pPr>
        <w:pStyle w:val="Titolo1"/>
        <w:jc w:val="center"/>
      </w:pPr>
      <w:r w:rsidRPr="006D0CB3">
        <w:lastRenderedPageBreak/>
        <w:t>Un indicatore non è una previsione</w:t>
      </w:r>
    </w:p>
    <w:p w14:paraId="0683B5BE" w14:textId="77777777" w:rsidR="00D4194E" w:rsidRDefault="00D4194E" w:rsidP="00112D14">
      <w:pPr>
        <w:pStyle w:val="Titolo2"/>
        <w:jc w:val="both"/>
      </w:pPr>
    </w:p>
    <w:p w14:paraId="11399491" w14:textId="05396927" w:rsidR="006D0CB3" w:rsidRPr="007E0079" w:rsidRDefault="006D0CB3" w:rsidP="00112D14">
      <w:pPr>
        <w:pStyle w:val="Titolo2"/>
        <w:jc w:val="both"/>
      </w:pPr>
      <w:r w:rsidRPr="007E0079">
        <w:t>Dal segnale al warning: come distinguere ciò che osserviamo da ciò che possiamo concludere</w:t>
      </w:r>
    </w:p>
    <w:p w14:paraId="69052C74" w14:textId="77777777" w:rsidR="006D0CB3" w:rsidRPr="006D0CB3" w:rsidRDefault="006D0CB3" w:rsidP="005D3298">
      <w:pPr>
        <w:spacing w:before="100" w:beforeAutospacing="1"/>
        <w:jc w:val="both"/>
      </w:pPr>
      <w:r w:rsidRPr="006D0CB3">
        <w:t xml:space="preserve">Nell’analisi intelligence uno degli errori più insidiosi consiste nel confondere ciò che </w:t>
      </w:r>
      <w:r w:rsidRPr="006D0CB3">
        <w:rPr>
          <w:b/>
          <w:bCs/>
        </w:rPr>
        <w:t>osserviamo</w:t>
      </w:r>
      <w:r w:rsidRPr="006D0CB3">
        <w:t xml:space="preserve"> con ciò che possiamo </w:t>
      </w:r>
      <w:r w:rsidRPr="006D0CB3">
        <w:rPr>
          <w:b/>
          <w:bCs/>
        </w:rPr>
        <w:t>concludere</w:t>
      </w:r>
      <w:r w:rsidRPr="006D0CB3">
        <w:t>.</w:t>
      </w:r>
    </w:p>
    <w:p w14:paraId="06875DAC" w14:textId="77777777" w:rsidR="006D0CB3" w:rsidRPr="006D0CB3" w:rsidRDefault="006D0CB3" w:rsidP="00112D14">
      <w:pPr>
        <w:jc w:val="both"/>
      </w:pPr>
      <w:r w:rsidRPr="006D0CB3">
        <w:t>Un aumento delle forze militari in prossimità di un confine. Un cambiamento nella postura operativa. Una sequenza anomala di esercitazioni. Una retorica politica progressivamente più aggressiva. Un incremento delle attività cyber. Una variazione nella produzione dell’industria della difesa.</w:t>
      </w:r>
    </w:p>
    <w:p w14:paraId="122148CF" w14:textId="77777777" w:rsidR="006D0CB3" w:rsidRPr="006D0CB3" w:rsidRDefault="006D0CB3" w:rsidP="00112D14">
      <w:pPr>
        <w:jc w:val="both"/>
      </w:pPr>
      <w:r w:rsidRPr="006D0CB3">
        <w:t>Sono tutti elementi potenzialmente significativi. Possono segnalare che qualcosa sta cambiando e, in determinate circostanze, contribuire alla costruzione di un quadro di warning.</w:t>
      </w:r>
    </w:p>
    <w:p w14:paraId="21F2DEF4" w14:textId="77777777" w:rsidR="006D0CB3" w:rsidRPr="006D0CB3" w:rsidRDefault="006D0CB3" w:rsidP="00112D14">
      <w:pPr>
        <w:jc w:val="both"/>
      </w:pPr>
      <w:r w:rsidRPr="006D0CB3">
        <w:t xml:space="preserve">Ma nessuno di essi, considerato isolatamente, ci dice necessariamente </w:t>
      </w:r>
      <w:r w:rsidRPr="006D0CB3">
        <w:rPr>
          <w:b/>
          <w:bCs/>
        </w:rPr>
        <w:t>che cosa accadrà</w:t>
      </w:r>
      <w:r w:rsidRPr="006D0CB3">
        <w:t>.</w:t>
      </w:r>
    </w:p>
    <w:p w14:paraId="67262A38" w14:textId="51374076" w:rsidR="006D0CB3" w:rsidRPr="006D0CB3" w:rsidRDefault="006D0CB3" w:rsidP="00112D14">
      <w:pPr>
        <w:jc w:val="both"/>
      </w:pPr>
      <w:r w:rsidRPr="006D0CB3">
        <w:t>La distinzione è fondamentale:</w:t>
      </w:r>
      <w:r w:rsidR="007A6443">
        <w:t xml:space="preserve"> </w:t>
      </w:r>
      <w:r w:rsidRPr="006D0CB3">
        <w:rPr>
          <w:b/>
          <w:bCs/>
        </w:rPr>
        <w:t>un indicatore non è una previsione.</w:t>
      </w:r>
    </w:p>
    <w:p w14:paraId="3E2E9277" w14:textId="77777777" w:rsidR="006D0CB3" w:rsidRPr="006D0CB3" w:rsidRDefault="006D0CB3" w:rsidP="00112D14">
      <w:pPr>
        <w:jc w:val="both"/>
      </w:pPr>
      <w:r w:rsidRPr="006D0CB3">
        <w:t>È un elemento osservabile che acquista significato analitico quando viene posto in relazione con una domanda intelligence, un’ipotesi o uno scenario precedentemente definito.</w:t>
      </w:r>
    </w:p>
    <w:p w14:paraId="1BB5BD31" w14:textId="77777777" w:rsidR="006D0CB3" w:rsidRPr="006D0CB3" w:rsidRDefault="006D0CB3" w:rsidP="00112D14">
      <w:pPr>
        <w:jc w:val="both"/>
      </w:pPr>
      <w:r w:rsidRPr="006D0CB3">
        <w:t>Questa differenza apparentemente semplice separa il monitoraggio degli eventi da un autentico processo di analisi.</w:t>
      </w:r>
    </w:p>
    <w:p w14:paraId="2627D21A" w14:textId="77777777" w:rsidR="006D0CB3" w:rsidRPr="00AB34C6" w:rsidRDefault="006D0CB3" w:rsidP="005D3298">
      <w:pPr>
        <w:pStyle w:val="Titolo2"/>
        <w:spacing w:before="240"/>
      </w:pPr>
      <w:r w:rsidRPr="00AB34C6">
        <w:t>Dal segnale all’interpretazione</w:t>
      </w:r>
    </w:p>
    <w:p w14:paraId="60B3E5FE" w14:textId="77777777" w:rsidR="006D0CB3" w:rsidRPr="006D0CB3" w:rsidRDefault="006D0CB3" w:rsidP="005D3298">
      <w:pPr>
        <w:spacing w:before="100" w:beforeAutospacing="1"/>
        <w:jc w:val="both"/>
      </w:pPr>
      <w:r w:rsidRPr="006D0CB3">
        <w:t>Di fronte a una crisi internazionale, la quantità di informazioni disponibili può generare l’illusione che il problema principale consista nell’individuare il maggior numero possibile di segnali.</w:t>
      </w:r>
    </w:p>
    <w:p w14:paraId="708B241A" w14:textId="77777777" w:rsidR="006D0CB3" w:rsidRPr="006D0CB3" w:rsidRDefault="006D0CB3" w:rsidP="00AB34C6">
      <w:pPr>
        <w:jc w:val="both"/>
      </w:pPr>
      <w:r w:rsidRPr="006D0CB3">
        <w:t>In realtà, raccogliere più informazioni non significa necessariamente comprendere meglio ciò che sta accadendo.</w:t>
      </w:r>
    </w:p>
    <w:p w14:paraId="24F4E9B1" w14:textId="77777777" w:rsidR="006D0CB3" w:rsidRPr="006D0CB3" w:rsidRDefault="006D0CB3" w:rsidP="00AB34C6">
      <w:pPr>
        <w:jc w:val="both"/>
      </w:pPr>
      <w:r w:rsidRPr="006D0CB3">
        <w:t xml:space="preserve">Il problema analitico nasce nel passaggio tra </w:t>
      </w:r>
      <w:r w:rsidRPr="006D0CB3">
        <w:rPr>
          <w:b/>
          <w:bCs/>
        </w:rPr>
        <w:t>osservazione e interpretazione</w:t>
      </w:r>
      <w:r w:rsidRPr="006D0CB3">
        <w:t>.</w:t>
      </w:r>
    </w:p>
    <w:p w14:paraId="62B5E2AC" w14:textId="77777777" w:rsidR="006D0CB3" w:rsidRPr="006D0CB3" w:rsidRDefault="006D0CB3" w:rsidP="00AB34C6">
      <w:pPr>
        <w:jc w:val="both"/>
      </w:pPr>
      <w:r w:rsidRPr="006D0CB3">
        <w:t>Supponiamo, ad esempio, di osservare un significativo rafforzamento militare in una determinata area.</w:t>
      </w:r>
    </w:p>
    <w:p w14:paraId="76C5C33D" w14:textId="77777777" w:rsidR="006D0CB3" w:rsidRPr="006D0CB3" w:rsidRDefault="006D0CB3" w:rsidP="00AB34C6">
      <w:pPr>
        <w:jc w:val="both"/>
      </w:pPr>
      <w:r w:rsidRPr="006D0CB3">
        <w:t>L’evento è reale e verificabile. Ma che cosa significa?</w:t>
      </w:r>
    </w:p>
    <w:p w14:paraId="1BDFE470" w14:textId="77777777" w:rsidR="006D0CB3" w:rsidRPr="006D0CB3" w:rsidRDefault="006D0CB3" w:rsidP="00AB34C6">
      <w:pPr>
        <w:jc w:val="both"/>
      </w:pPr>
      <w:r w:rsidRPr="006D0CB3">
        <w:t>Una prima interpretazione potrebbe suggerire la preparazione di un’operazione offensiva.</w:t>
      </w:r>
    </w:p>
    <w:p w14:paraId="774B581A" w14:textId="77777777" w:rsidR="006D0CB3" w:rsidRPr="006D0CB3" w:rsidRDefault="006D0CB3" w:rsidP="00AB34C6">
      <w:pPr>
        <w:jc w:val="both"/>
      </w:pPr>
      <w:r w:rsidRPr="006D0CB3">
        <w:t>Lo stesso comportamento, tuttavia, potrebbe essere compatibile anche con altre spiegazioni:</w:t>
      </w:r>
    </w:p>
    <w:p w14:paraId="207FDF39" w14:textId="2B65B9A9" w:rsidR="006D0CB3" w:rsidRPr="006D0CB3" w:rsidRDefault="006D0CB3" w:rsidP="008F55AA">
      <w:pPr>
        <w:pStyle w:val="Paragrafoelenco"/>
        <w:numPr>
          <w:ilvl w:val="0"/>
          <w:numId w:val="18"/>
        </w:numPr>
        <w:jc w:val="both"/>
      </w:pPr>
      <w:r w:rsidRPr="006D0CB3">
        <w:lastRenderedPageBreak/>
        <w:t>un’esercitazione precedentemente programmata;</w:t>
      </w:r>
    </w:p>
    <w:p w14:paraId="64A35842" w14:textId="77777777" w:rsidR="006D0CB3" w:rsidRPr="006D0CB3" w:rsidRDefault="006D0CB3" w:rsidP="008F55AA">
      <w:pPr>
        <w:pStyle w:val="Paragrafoelenco"/>
        <w:numPr>
          <w:ilvl w:val="0"/>
          <w:numId w:val="18"/>
        </w:numPr>
        <w:jc w:val="both"/>
      </w:pPr>
      <w:r w:rsidRPr="006D0CB3">
        <w:t>una misura deterrente;</w:t>
      </w:r>
    </w:p>
    <w:p w14:paraId="697DD1E9" w14:textId="77777777" w:rsidR="006D0CB3" w:rsidRPr="006D0CB3" w:rsidRDefault="006D0CB3" w:rsidP="008F55AA">
      <w:pPr>
        <w:pStyle w:val="Paragrafoelenco"/>
        <w:numPr>
          <w:ilvl w:val="0"/>
          <w:numId w:val="18"/>
        </w:numPr>
        <w:jc w:val="both"/>
      </w:pPr>
      <w:r w:rsidRPr="006D0CB3">
        <w:t>una risposta a una minaccia percepita;</w:t>
      </w:r>
    </w:p>
    <w:p w14:paraId="1AEAD41A" w14:textId="77777777" w:rsidR="006D0CB3" w:rsidRPr="006D0CB3" w:rsidRDefault="006D0CB3" w:rsidP="008F55AA">
      <w:pPr>
        <w:pStyle w:val="Paragrafoelenco"/>
        <w:numPr>
          <w:ilvl w:val="0"/>
          <w:numId w:val="18"/>
        </w:numPr>
        <w:jc w:val="both"/>
      </w:pPr>
      <w:r w:rsidRPr="006D0CB3">
        <w:t>una rotazione delle forze;</w:t>
      </w:r>
    </w:p>
    <w:p w14:paraId="3DD7B7F8" w14:textId="77777777" w:rsidR="006D0CB3" w:rsidRPr="006D0CB3" w:rsidRDefault="006D0CB3" w:rsidP="008F55AA">
      <w:pPr>
        <w:pStyle w:val="Paragrafoelenco"/>
        <w:numPr>
          <w:ilvl w:val="0"/>
          <w:numId w:val="18"/>
        </w:numPr>
        <w:jc w:val="both"/>
      </w:pPr>
      <w:r w:rsidRPr="006D0CB3">
        <w:t>un’attività dimostrativa destinata a esercitare pressione politica;</w:t>
      </w:r>
    </w:p>
    <w:p w14:paraId="17B98CB9" w14:textId="5A9AE098" w:rsidR="006D0CB3" w:rsidRPr="006D0CB3" w:rsidRDefault="006D0CB3" w:rsidP="008F55AA">
      <w:pPr>
        <w:pStyle w:val="Paragrafoelenco"/>
        <w:numPr>
          <w:ilvl w:val="0"/>
          <w:numId w:val="18"/>
        </w:numPr>
        <w:jc w:val="both"/>
      </w:pPr>
      <w:r w:rsidRPr="006D0CB3">
        <w:t>un</w:t>
      </w:r>
      <w:r w:rsidR="004759FB">
        <w:t>’</w:t>
      </w:r>
      <w:r w:rsidRPr="006D0CB3">
        <w:t>a</w:t>
      </w:r>
      <w:r w:rsidR="004759FB">
        <w:t xml:space="preserve">ttività di </w:t>
      </w:r>
      <w:proofErr w:type="spellStart"/>
      <w:r w:rsidRPr="006D0CB3">
        <w:t>deception</w:t>
      </w:r>
      <w:proofErr w:type="spellEnd"/>
      <w:r w:rsidRPr="006D0CB3">
        <w:t xml:space="preserve"> deliberatamente costruita per condizionare la percezione dell’avversario.</w:t>
      </w:r>
    </w:p>
    <w:p w14:paraId="445850B3" w14:textId="77777777" w:rsidR="006D0CB3" w:rsidRPr="006D0CB3" w:rsidRDefault="006D0CB3" w:rsidP="00AB34C6">
      <w:pPr>
        <w:jc w:val="both"/>
      </w:pPr>
      <w:r w:rsidRPr="006D0CB3">
        <w:t>L’osservazione, dunque, non determina automaticamente la conclusione.</w:t>
      </w:r>
    </w:p>
    <w:p w14:paraId="0B1CC569" w14:textId="77777777" w:rsidR="006D0CB3" w:rsidRPr="006D0CB3" w:rsidRDefault="006D0CB3" w:rsidP="00AB34C6">
      <w:pPr>
        <w:jc w:val="both"/>
      </w:pPr>
      <w:r w:rsidRPr="006D0CB3">
        <w:t>Tra le due esiste lo spazio dell’</w:t>
      </w:r>
      <w:r w:rsidRPr="006D0CB3">
        <w:rPr>
          <w:b/>
          <w:bCs/>
        </w:rPr>
        <w:t>analisi</w:t>
      </w:r>
      <w:r w:rsidRPr="006D0CB3">
        <w:t>.</w:t>
      </w:r>
    </w:p>
    <w:p w14:paraId="21D1E4B7" w14:textId="740D7941" w:rsidR="006D0CB3" w:rsidRPr="006D0CB3" w:rsidRDefault="006D0CB3" w:rsidP="00AB34C6">
      <w:pPr>
        <w:jc w:val="both"/>
      </w:pPr>
      <w:r w:rsidRPr="006D0CB3">
        <w:t>Ed è precisamente in questo spazio che l’analista deve resistere alla tentazione di costruire una relazione lineare:</w:t>
      </w:r>
      <w:r w:rsidR="008F55AA">
        <w:t xml:space="preserve"> </w:t>
      </w:r>
      <w:r w:rsidRPr="006D0CB3">
        <w:rPr>
          <w:b/>
          <w:bCs/>
        </w:rPr>
        <w:t>osservo A → quindi accadrà B.</w:t>
      </w:r>
    </w:p>
    <w:p w14:paraId="1127BA02" w14:textId="62B45F85" w:rsidR="006D0CB3" w:rsidRPr="006D0CB3" w:rsidRDefault="006D0CB3" w:rsidP="00AB34C6">
      <w:pPr>
        <w:jc w:val="both"/>
      </w:pPr>
      <w:r w:rsidRPr="00C7621E">
        <w:rPr>
          <w:u w:val="single"/>
        </w:rPr>
        <w:t>La domanda metodologicamente corretta è diversa</w:t>
      </w:r>
      <w:r w:rsidRPr="006D0CB3">
        <w:t>:</w:t>
      </w:r>
      <w:r w:rsidR="00AB34C6">
        <w:t xml:space="preserve"> </w:t>
      </w:r>
      <w:r w:rsidRPr="006D0CB3">
        <w:rPr>
          <w:b/>
          <w:bCs/>
        </w:rPr>
        <w:t>quali ipotesi sono compatibili con A e quale evidenza potrebbe permettermi di distinguerle?</w:t>
      </w:r>
    </w:p>
    <w:p w14:paraId="3C17A1DD" w14:textId="77777777" w:rsidR="006D0CB3" w:rsidRPr="00E5080B" w:rsidRDefault="006D0CB3" w:rsidP="00AE7DE7">
      <w:pPr>
        <w:pStyle w:val="Titolo2"/>
        <w:spacing w:before="240"/>
      </w:pPr>
      <w:r w:rsidRPr="00E5080B">
        <w:t>Il valore diagnostico di un indicatore</w:t>
      </w:r>
    </w:p>
    <w:p w14:paraId="71A96B88" w14:textId="77777777" w:rsidR="006D0CB3" w:rsidRPr="006D0CB3" w:rsidRDefault="006D0CB3" w:rsidP="00AE7DE7">
      <w:pPr>
        <w:spacing w:before="100" w:beforeAutospacing="1"/>
        <w:jc w:val="both"/>
      </w:pPr>
      <w:r w:rsidRPr="006D0CB3">
        <w:t>Non tutti gli indicatori possiedono lo stesso valore analitico.</w:t>
      </w:r>
    </w:p>
    <w:p w14:paraId="0B8F2EDB" w14:textId="77777777" w:rsidR="006D0CB3" w:rsidRPr="006D0CB3" w:rsidRDefault="006D0CB3" w:rsidP="00E5080B">
      <w:pPr>
        <w:jc w:val="both"/>
      </w:pPr>
      <w:r w:rsidRPr="006D0CB3">
        <w:t>Un elemento può essere molto visibile e apparentemente importante, ma avere una capacità limitata di discriminare tra spiegazioni concorrenti.</w:t>
      </w:r>
    </w:p>
    <w:p w14:paraId="0F053126" w14:textId="77777777" w:rsidR="006D0CB3" w:rsidRPr="006D0CB3" w:rsidRDefault="006D0CB3" w:rsidP="00E5080B">
      <w:pPr>
        <w:jc w:val="both"/>
      </w:pPr>
      <w:r w:rsidRPr="006D0CB3">
        <w:t>Se, ad esempio, un determinato comportamento sarebbe plausibile sia nell’ipotesi di un’imminente azione offensiva sia nell’ipotesi di una semplice esercitazione, la sua presenza aggiunge relativamente poco alla nostra capacità di scegliere tra le due spiegazioni.</w:t>
      </w:r>
    </w:p>
    <w:p w14:paraId="553B2B03" w14:textId="77777777" w:rsidR="006D0CB3" w:rsidRPr="006D0CB3" w:rsidRDefault="006D0CB3" w:rsidP="00E5080B">
      <w:pPr>
        <w:jc w:val="both"/>
      </w:pPr>
      <w:r w:rsidRPr="006D0CB3">
        <w:t xml:space="preserve">È quindi utile distinguere tra la semplice </w:t>
      </w:r>
      <w:r w:rsidRPr="006D0CB3">
        <w:rPr>
          <w:b/>
          <w:bCs/>
        </w:rPr>
        <w:t>rilevanza</w:t>
      </w:r>
      <w:r w:rsidRPr="006D0CB3">
        <w:t xml:space="preserve"> di un’informazione e il suo </w:t>
      </w:r>
      <w:r w:rsidRPr="006D0CB3">
        <w:rPr>
          <w:b/>
          <w:bCs/>
        </w:rPr>
        <w:t>valore diagnostico</w:t>
      </w:r>
      <w:r w:rsidRPr="006D0CB3">
        <w:t>.</w:t>
      </w:r>
    </w:p>
    <w:p w14:paraId="59EDF25F" w14:textId="11D7C3E5" w:rsidR="006D0CB3" w:rsidRPr="006D0CB3" w:rsidRDefault="006D0CB3" w:rsidP="00E5080B">
      <w:pPr>
        <w:jc w:val="both"/>
      </w:pPr>
      <w:r w:rsidRPr="006D0CB3">
        <w:t xml:space="preserve">Un indicatore è tanto più diagnostico quanto più la sua presenza </w:t>
      </w:r>
      <w:r w:rsidR="00463A00">
        <w:t>-</w:t>
      </w:r>
      <w:r w:rsidRPr="006D0CB3">
        <w:t xml:space="preserve"> o la sua assenza </w:t>
      </w:r>
      <w:r w:rsidR="00463A00">
        <w:t>-</w:t>
      </w:r>
      <w:r w:rsidRPr="006D0CB3">
        <w:t xml:space="preserve"> risulta coerente con alcune ipotesi e difficilmente spiegabile attraverso altre.</w:t>
      </w:r>
    </w:p>
    <w:p w14:paraId="18781003" w14:textId="249A7C20" w:rsidR="006D0CB3" w:rsidRPr="006D0CB3" w:rsidRDefault="006D0CB3" w:rsidP="00E5080B">
      <w:pPr>
        <w:jc w:val="both"/>
      </w:pPr>
      <w:r w:rsidRPr="006D0CB3">
        <w:t>Questa logica presenta un evidente punto di contatto con l’</w:t>
      </w:r>
      <w:r w:rsidRPr="006D0CB3">
        <w:rPr>
          <w:b/>
          <w:bCs/>
        </w:rPr>
        <w:t xml:space="preserve">Analysis of </w:t>
      </w:r>
      <w:proofErr w:type="spellStart"/>
      <w:r w:rsidRPr="006D0CB3">
        <w:rPr>
          <w:b/>
          <w:bCs/>
        </w:rPr>
        <w:t>Competing</w:t>
      </w:r>
      <w:proofErr w:type="spellEnd"/>
      <w:r w:rsidRPr="006D0CB3">
        <w:rPr>
          <w:b/>
          <w:bCs/>
        </w:rPr>
        <w:t xml:space="preserve"> </w:t>
      </w:r>
      <w:proofErr w:type="spellStart"/>
      <w:r w:rsidRPr="006D0CB3">
        <w:rPr>
          <w:b/>
          <w:bCs/>
        </w:rPr>
        <w:t>Hypotheses</w:t>
      </w:r>
      <w:proofErr w:type="spellEnd"/>
      <w:r w:rsidRPr="006D0CB3">
        <w:rPr>
          <w:b/>
          <w:bCs/>
        </w:rPr>
        <w:t xml:space="preserve"> (ACH)</w:t>
      </w:r>
      <w:r w:rsidRPr="006D0CB3">
        <w:t>: l’analista non dovrebbe limitarsi a cercare evidenze che confermano la spiegazione preferita, dovrebbe</w:t>
      </w:r>
      <w:r w:rsidR="005C131D">
        <w:t xml:space="preserve"> bensì</w:t>
      </w:r>
      <w:r w:rsidRPr="006D0CB3">
        <w:t xml:space="preserve"> interrogarsi su quali informazioni siano maggiormente capaci di discriminare tra ipotesi concorrenti.</w:t>
      </w:r>
    </w:p>
    <w:p w14:paraId="30F1B8B0" w14:textId="17CB3445" w:rsidR="006D0CB3" w:rsidRPr="006D0CB3" w:rsidRDefault="006D0CB3" w:rsidP="00E5080B">
      <w:pPr>
        <w:jc w:val="both"/>
      </w:pPr>
      <w:r w:rsidRPr="006D0CB3">
        <w:t>Il problema, quindi, non è soltanto:</w:t>
      </w:r>
      <w:r w:rsidR="00E5080B">
        <w:t xml:space="preserve"> </w:t>
      </w:r>
      <w:r w:rsidRPr="006D0CB3">
        <w:rPr>
          <w:b/>
          <w:bCs/>
        </w:rPr>
        <w:t>Questo indicatore conferma la mia ipotesi?</w:t>
      </w:r>
    </w:p>
    <w:p w14:paraId="7400A24B" w14:textId="64406A65" w:rsidR="006D0CB3" w:rsidRPr="006D0CB3" w:rsidRDefault="006D0CB3" w:rsidP="00E5080B">
      <w:pPr>
        <w:jc w:val="both"/>
      </w:pPr>
      <w:r w:rsidRPr="005C131D">
        <w:rPr>
          <w:u w:val="single"/>
        </w:rPr>
        <w:t>Una domanda metodologicamente più robusta è</w:t>
      </w:r>
      <w:r w:rsidRPr="006D0CB3">
        <w:t>:</w:t>
      </w:r>
      <w:r w:rsidR="00E5080B">
        <w:t xml:space="preserve"> </w:t>
      </w:r>
      <w:r w:rsidRPr="006D0CB3">
        <w:rPr>
          <w:b/>
          <w:bCs/>
        </w:rPr>
        <w:t>Se fosse vera un’ipotesi alternativa, osserverei comunque lo stesso indicatore?</w:t>
      </w:r>
    </w:p>
    <w:p w14:paraId="575EFFC5" w14:textId="77777777" w:rsidR="006D0CB3" w:rsidRPr="006D0CB3" w:rsidRDefault="006D0CB3" w:rsidP="00E5080B">
      <w:pPr>
        <w:jc w:val="both"/>
      </w:pPr>
      <w:r w:rsidRPr="006D0CB3">
        <w:t>Il cambiamento di prospettiva è significativo.</w:t>
      </w:r>
    </w:p>
    <w:p w14:paraId="72871163" w14:textId="77777777" w:rsidR="006D0CB3" w:rsidRPr="006D0CB3" w:rsidRDefault="006D0CB3" w:rsidP="00E5080B">
      <w:pPr>
        <w:jc w:val="both"/>
      </w:pPr>
      <w:r w:rsidRPr="006D0CB3">
        <w:lastRenderedPageBreak/>
        <w:t>L’indicatore smette di essere una conferma e diventa uno strumento per sottoporre a verifica il giudizio analitico.</w:t>
      </w:r>
    </w:p>
    <w:p w14:paraId="42B30797" w14:textId="77777777" w:rsidR="006D0CB3" w:rsidRPr="006D0CB3" w:rsidRDefault="006D0CB3" w:rsidP="00AE7DE7">
      <w:pPr>
        <w:pStyle w:val="Titolo2"/>
        <w:spacing w:before="240"/>
      </w:pPr>
      <w:r w:rsidRPr="006D0CB3">
        <w:t xml:space="preserve">Capability non significa </w:t>
      </w:r>
      <w:proofErr w:type="spellStart"/>
      <w:r w:rsidRPr="006D0CB3">
        <w:t>intent</w:t>
      </w:r>
      <w:proofErr w:type="spellEnd"/>
    </w:p>
    <w:p w14:paraId="6936F2CF" w14:textId="77777777" w:rsidR="006D0CB3" w:rsidRPr="006D0CB3" w:rsidRDefault="006D0CB3" w:rsidP="00AE7DE7">
      <w:pPr>
        <w:spacing w:before="100" w:beforeAutospacing="1"/>
        <w:jc w:val="both"/>
      </w:pPr>
      <w:r w:rsidRPr="006D0CB3">
        <w:t xml:space="preserve">Un secondo errore frequente riguarda la confusione tra </w:t>
      </w:r>
      <w:r w:rsidRPr="006D0CB3">
        <w:rPr>
          <w:b/>
          <w:bCs/>
        </w:rPr>
        <w:t>capacità</w:t>
      </w:r>
      <w:r w:rsidRPr="006D0CB3">
        <w:t xml:space="preserve"> e </w:t>
      </w:r>
      <w:r w:rsidRPr="006D0CB3">
        <w:rPr>
          <w:b/>
          <w:bCs/>
        </w:rPr>
        <w:t>intenzione</w:t>
      </w:r>
      <w:r w:rsidRPr="006D0CB3">
        <w:t>.</w:t>
      </w:r>
    </w:p>
    <w:p w14:paraId="7C0DEFEC" w14:textId="77777777" w:rsidR="006D0CB3" w:rsidRPr="006D0CB3" w:rsidRDefault="006D0CB3" w:rsidP="00E5080B">
      <w:pPr>
        <w:jc w:val="both"/>
      </w:pPr>
      <w:r w:rsidRPr="006D0CB3">
        <w:t>Osservare che un attore sta sviluppando o acquisendo la capacità di compiere una determinata azione non significa aver dimostrato che abbia deciso di compierla.</w:t>
      </w:r>
    </w:p>
    <w:p w14:paraId="3DBA332F" w14:textId="77777777" w:rsidR="006D0CB3" w:rsidRPr="006D0CB3" w:rsidRDefault="006D0CB3" w:rsidP="00E5080B">
      <w:pPr>
        <w:jc w:val="both"/>
      </w:pPr>
      <w:r w:rsidRPr="006D0CB3">
        <w:t>La distinzione è particolarmente importante nell’analisi politico-militare.</w:t>
      </w:r>
    </w:p>
    <w:p w14:paraId="2B4A750E" w14:textId="77777777" w:rsidR="006D0CB3" w:rsidRPr="006D0CB3" w:rsidRDefault="006D0CB3" w:rsidP="00E5080B">
      <w:pPr>
        <w:jc w:val="both"/>
      </w:pPr>
      <w:r w:rsidRPr="006D0CB3">
        <w:t>Movimenti di forze, predisposizione logistica, mobilitazione industriale o modifiche alla postura possono indicare che un determinato scenario sta diventando materialmente possibile.</w:t>
      </w:r>
    </w:p>
    <w:p w14:paraId="627971E6" w14:textId="77777777" w:rsidR="006D0CB3" w:rsidRPr="006D0CB3" w:rsidRDefault="006D0CB3" w:rsidP="00E5080B">
      <w:pPr>
        <w:jc w:val="both"/>
      </w:pPr>
      <w:r w:rsidRPr="006D0CB3">
        <w:t>Ma la possibilità operativa non equivale automaticamente all’intenzione politica.</w:t>
      </w:r>
    </w:p>
    <w:p w14:paraId="4F2C5FE8" w14:textId="4D2F9BD2" w:rsidR="006D0CB3" w:rsidRPr="006D0CB3" w:rsidRDefault="006D0CB3" w:rsidP="00E5080B">
      <w:pPr>
        <w:jc w:val="both"/>
      </w:pPr>
      <w:r w:rsidRPr="006D0CB3">
        <w:t>Potremmo sintetizzare il problema in questo modo:</w:t>
      </w:r>
      <w:r w:rsidR="00C747C5">
        <w:t xml:space="preserve"> </w:t>
      </w:r>
      <w:r w:rsidRPr="006D0CB3">
        <w:rPr>
          <w:b/>
          <w:bCs/>
        </w:rPr>
        <w:t xml:space="preserve">Capability ≠ </w:t>
      </w:r>
      <w:proofErr w:type="spellStart"/>
      <w:r w:rsidRPr="006D0CB3">
        <w:rPr>
          <w:b/>
          <w:bCs/>
        </w:rPr>
        <w:t>Intent</w:t>
      </w:r>
      <w:proofErr w:type="spellEnd"/>
      <w:r w:rsidRPr="006D0CB3">
        <w:rPr>
          <w:b/>
          <w:bCs/>
        </w:rPr>
        <w:t xml:space="preserve"> ≠ Action</w:t>
      </w:r>
    </w:p>
    <w:p w14:paraId="5C499739" w14:textId="22069FC5" w:rsidR="006D0CB3" w:rsidRPr="006D0CB3" w:rsidRDefault="006D0CB3" w:rsidP="00E5080B">
      <w:pPr>
        <w:jc w:val="both"/>
      </w:pPr>
      <w:r w:rsidRPr="006D0CB3">
        <w:t>La capacità rende possibile un comportamento.</w:t>
      </w:r>
      <w:r w:rsidR="00AC5E5B">
        <w:t xml:space="preserve"> </w:t>
      </w:r>
      <w:r w:rsidRPr="006D0CB3">
        <w:t>L’intenzione può renderlo plausibile.</w:t>
      </w:r>
    </w:p>
    <w:p w14:paraId="0E3B44F2" w14:textId="77777777" w:rsidR="006D0CB3" w:rsidRPr="006D0CB3" w:rsidRDefault="006D0CB3" w:rsidP="00E5080B">
      <w:pPr>
        <w:jc w:val="both"/>
      </w:pPr>
      <w:r w:rsidRPr="006D0CB3">
        <w:t>La decisione trasforma quella possibilità in azione.</w:t>
      </w:r>
    </w:p>
    <w:p w14:paraId="12D0A639" w14:textId="21EC6AB1" w:rsidR="006D0CB3" w:rsidRPr="006D0CB3" w:rsidRDefault="006D0CB3" w:rsidP="00E5080B">
      <w:pPr>
        <w:jc w:val="both"/>
      </w:pPr>
      <w:r w:rsidRPr="006D0CB3">
        <w:t xml:space="preserve">Per </w:t>
      </w:r>
      <w:r w:rsidR="003B3BC5">
        <w:t>un analista</w:t>
      </w:r>
      <w:r w:rsidRPr="006D0CB3">
        <w:t>, comprendere dove ci si trovi lungo questa sequenza è essenziale.</w:t>
      </w:r>
    </w:p>
    <w:p w14:paraId="698595EC" w14:textId="77777777" w:rsidR="006D0CB3" w:rsidRPr="006D0CB3" w:rsidRDefault="006D0CB3" w:rsidP="00E5080B">
      <w:pPr>
        <w:jc w:val="both"/>
      </w:pPr>
      <w:r w:rsidRPr="006D0CB3">
        <w:t xml:space="preserve">Confondere questi livelli significa rischiare di trasformare il warning in </w:t>
      </w:r>
      <w:proofErr w:type="spellStart"/>
      <w:r w:rsidRPr="006D0CB3">
        <w:t>prediction</w:t>
      </w:r>
      <w:proofErr w:type="spellEnd"/>
      <w:r w:rsidRPr="006D0CB3">
        <w:t>.</w:t>
      </w:r>
    </w:p>
    <w:p w14:paraId="44D567EF" w14:textId="77777777" w:rsidR="006D0CB3" w:rsidRPr="006D0CB3" w:rsidRDefault="006D0CB3" w:rsidP="00AE7DE7">
      <w:pPr>
        <w:pStyle w:val="Titolo2"/>
        <w:spacing w:before="240"/>
        <w:rPr>
          <w:b/>
          <w:bCs/>
          <w:kern w:val="0"/>
          <w14:ligatures w14:val="none"/>
        </w:rPr>
      </w:pPr>
      <w:r w:rsidRPr="006D0CB3">
        <w:rPr>
          <w:b/>
          <w:bCs/>
          <w:kern w:val="0"/>
          <w14:ligatures w14:val="none"/>
        </w:rPr>
        <w:t>Dal singolo indicatore al pattern</w:t>
      </w:r>
    </w:p>
    <w:p w14:paraId="4A011690" w14:textId="77777777" w:rsidR="006D0CB3" w:rsidRPr="006D0CB3" w:rsidRDefault="006D0CB3" w:rsidP="00AE7DE7">
      <w:pPr>
        <w:spacing w:before="100" w:beforeAutospacing="1"/>
        <w:jc w:val="both"/>
      </w:pPr>
      <w:r w:rsidRPr="006D0CB3">
        <w:t xml:space="preserve">Un sistema di warning efficace non dovrebbe dipendere da singoli segnali, ma dalla capacità di riconoscere </w:t>
      </w:r>
      <w:r w:rsidRPr="006D0CB3">
        <w:rPr>
          <w:b/>
          <w:bCs/>
        </w:rPr>
        <w:t>configurazioni significative di indicatori</w:t>
      </w:r>
      <w:r w:rsidRPr="006D0CB3">
        <w:t>.</w:t>
      </w:r>
    </w:p>
    <w:p w14:paraId="64D00809" w14:textId="514594C0" w:rsidR="006D0CB3" w:rsidRPr="006D0CB3" w:rsidRDefault="006D0CB3" w:rsidP="001B5B15">
      <w:pPr>
        <w:jc w:val="both"/>
      </w:pPr>
      <w:r w:rsidRPr="006D0CB3">
        <w:t>Possiamo rappresentare il processo in forma semplificata:</w:t>
      </w:r>
      <w:r w:rsidR="001B0431">
        <w:t xml:space="preserve"> </w:t>
      </w:r>
      <w:r w:rsidRPr="006D0CB3">
        <w:rPr>
          <w:b/>
          <w:bCs/>
        </w:rPr>
        <w:t>Segnale → Indicatore → Pattern → Ipotesi → Warning → Rivalutazione</w:t>
      </w:r>
    </w:p>
    <w:p w14:paraId="1BD13A5B" w14:textId="77777777" w:rsidR="006D0CB3" w:rsidRPr="006D0CB3" w:rsidRDefault="006D0CB3" w:rsidP="001B5B15">
      <w:pPr>
        <w:jc w:val="both"/>
      </w:pPr>
      <w:r w:rsidRPr="006D0CB3">
        <w:t>Un segnale acquisisce rilevanza quando viene riconosciuto come pertinente rispetto a una domanda o a uno scenario.</w:t>
      </w:r>
    </w:p>
    <w:p w14:paraId="44B87CEA" w14:textId="77777777" w:rsidR="006D0CB3" w:rsidRPr="006D0CB3" w:rsidRDefault="006D0CB3" w:rsidP="001B5B15">
      <w:pPr>
        <w:jc w:val="both"/>
      </w:pPr>
      <w:r w:rsidRPr="006D0CB3">
        <w:t>Più indicatori, osservati nel tempo e messi in relazione tra loro, possono far emergere un pattern.</w:t>
      </w:r>
    </w:p>
    <w:p w14:paraId="749CFE43" w14:textId="77777777" w:rsidR="006D0CB3" w:rsidRPr="006D0CB3" w:rsidRDefault="006D0CB3" w:rsidP="001B5B15">
      <w:pPr>
        <w:jc w:val="both"/>
      </w:pPr>
      <w:r w:rsidRPr="006D0CB3">
        <w:t>Quel pattern viene confrontato con le ipotesi o gli scenari precedentemente elaborati.</w:t>
      </w:r>
    </w:p>
    <w:p w14:paraId="45D347B3" w14:textId="77777777" w:rsidR="006D0CB3" w:rsidRPr="006D0CB3" w:rsidRDefault="006D0CB3" w:rsidP="001B5B15">
      <w:pPr>
        <w:jc w:val="both"/>
      </w:pPr>
      <w:r w:rsidRPr="006D0CB3">
        <w:t>Solo allora l’analista dispone degli elementi necessari per valutare se la probabilità relativa di uno scenario stia aumentando, diminuendo o restando sostanzialmente invariata.</w:t>
      </w:r>
    </w:p>
    <w:p w14:paraId="55728581" w14:textId="77777777" w:rsidR="006D0CB3" w:rsidRPr="006D0CB3" w:rsidRDefault="006D0CB3" w:rsidP="001B5B15">
      <w:pPr>
        <w:jc w:val="both"/>
      </w:pPr>
      <w:r w:rsidRPr="006D0CB3">
        <w:t>Il warning, in questa prospettiva, non coincide con l’annuncio di un evento futuro.</w:t>
      </w:r>
    </w:p>
    <w:p w14:paraId="257879C9" w14:textId="77777777" w:rsidR="006D0CB3" w:rsidRPr="006D0CB3" w:rsidRDefault="006D0CB3" w:rsidP="001B5B15">
      <w:pPr>
        <w:jc w:val="both"/>
      </w:pPr>
      <w:r w:rsidRPr="006D0CB3">
        <w:lastRenderedPageBreak/>
        <w:t xml:space="preserve">Rappresenta piuttosto una </w:t>
      </w:r>
      <w:r w:rsidRPr="006D0CB3">
        <w:rPr>
          <w:b/>
          <w:bCs/>
        </w:rPr>
        <w:t>variazione significativa del giudizio analitico</w:t>
      </w:r>
      <w:r w:rsidRPr="006D0CB3">
        <w:t xml:space="preserve"> determinata dall’emergere di nuove evidenze.</w:t>
      </w:r>
    </w:p>
    <w:p w14:paraId="19E4D848" w14:textId="77777777" w:rsidR="006D0CB3" w:rsidRPr="006D0CB3" w:rsidRDefault="006D0CB3" w:rsidP="001B5B15">
      <w:pPr>
        <w:jc w:val="both"/>
      </w:pPr>
      <w:r w:rsidRPr="006D0CB3">
        <w:t>Questo implica anche che un sistema di indicatori non possa essere statico.</w:t>
      </w:r>
    </w:p>
    <w:p w14:paraId="7B4A07D6" w14:textId="77777777" w:rsidR="006D0CB3" w:rsidRPr="006D0CB3" w:rsidRDefault="006D0CB3" w:rsidP="001B5B15">
      <w:pPr>
        <w:jc w:val="both"/>
      </w:pPr>
      <w:r w:rsidRPr="006D0CB3">
        <w:t>Nuove evidenze possono modificare le ipotesi; nuove ipotesi possono richiedere indicatori differenti; indicatori precedentemente considerati significativi possono perdere capacità diagnostica.</w:t>
      </w:r>
    </w:p>
    <w:p w14:paraId="621B9A18" w14:textId="77777777" w:rsidR="006D0CB3" w:rsidRPr="006D0CB3" w:rsidRDefault="006D0CB3" w:rsidP="001B5B15">
      <w:pPr>
        <w:jc w:val="both"/>
      </w:pPr>
      <w:r w:rsidRPr="006D0CB3">
        <w:t>L’analisi diventa quindi un processo iterativo.</w:t>
      </w:r>
    </w:p>
    <w:p w14:paraId="57F38693" w14:textId="77777777" w:rsidR="006D0CB3" w:rsidRPr="00430762" w:rsidRDefault="006D0CB3" w:rsidP="00430762">
      <w:pPr>
        <w:pStyle w:val="Titolo2"/>
        <w:spacing w:before="240"/>
      </w:pPr>
      <w:r w:rsidRPr="00430762">
        <w:t xml:space="preserve">Il warning non è </w:t>
      </w:r>
      <w:proofErr w:type="spellStart"/>
      <w:r w:rsidRPr="00430762">
        <w:t>prediction</w:t>
      </w:r>
      <w:proofErr w:type="spellEnd"/>
    </w:p>
    <w:p w14:paraId="347E98E8" w14:textId="77777777" w:rsidR="006D0CB3" w:rsidRPr="006D0CB3" w:rsidRDefault="006D0CB3" w:rsidP="00430762">
      <w:pPr>
        <w:spacing w:before="100" w:beforeAutospacing="1"/>
        <w:jc w:val="both"/>
      </w:pPr>
      <w:r w:rsidRPr="006D0CB3">
        <w:t>È probabilmente questa la distinzione più importante.</w:t>
      </w:r>
    </w:p>
    <w:p w14:paraId="23B12673" w14:textId="00B3B164" w:rsidR="006D0CB3" w:rsidRPr="006D0CB3" w:rsidRDefault="006D0CB3" w:rsidP="001B5B15">
      <w:pPr>
        <w:jc w:val="both"/>
      </w:pPr>
      <w:r w:rsidRPr="006D0CB3">
        <w:t>Il compito dell’intelligence warning non consiste nel dichiarare:</w:t>
      </w:r>
      <w:r w:rsidR="00A2635B">
        <w:t xml:space="preserve"> </w:t>
      </w:r>
      <w:r w:rsidRPr="006D0CB3">
        <w:rPr>
          <w:b/>
          <w:bCs/>
        </w:rPr>
        <w:t>Questo evento accadrà.</w:t>
      </w:r>
    </w:p>
    <w:p w14:paraId="151B78A9" w14:textId="05321F11" w:rsidR="006D0CB3" w:rsidRPr="006D0CB3" w:rsidRDefault="006D0CB3" w:rsidP="001B5B15">
      <w:pPr>
        <w:jc w:val="both"/>
      </w:pPr>
      <w:r w:rsidRPr="006D0CB3">
        <w:t>Una formulazione più rigorosa potrebbe essere:</w:t>
      </w:r>
      <w:r w:rsidR="00A2635B">
        <w:t xml:space="preserve"> </w:t>
      </w:r>
      <w:r w:rsidRPr="006D0CB3">
        <w:rPr>
          <w:b/>
          <w:bCs/>
        </w:rPr>
        <w:t>Stiamo osservando cambiamenti coerenti con questo scenario; la sua plausibilità relativa sta aumentando e queste sono le evidenze che giustificano la rivalutazione.</w:t>
      </w:r>
    </w:p>
    <w:p w14:paraId="7FD4D9A1" w14:textId="0D89F45B" w:rsidR="006D0CB3" w:rsidRPr="006D0CB3" w:rsidRDefault="006D0CB3" w:rsidP="001B5B15">
      <w:pPr>
        <w:jc w:val="both"/>
      </w:pPr>
      <w:r w:rsidRPr="006D0CB3">
        <w:t>La differenza non è semplicemente linguistica.</w:t>
      </w:r>
      <w:r w:rsidR="00AC5E5B">
        <w:t xml:space="preserve"> </w:t>
      </w:r>
      <w:r w:rsidRPr="006D0CB3">
        <w:t>Nel primo caso pretendiamo conoscere il futuro.</w:t>
      </w:r>
    </w:p>
    <w:p w14:paraId="23ADE150" w14:textId="77777777" w:rsidR="006D0CB3" w:rsidRPr="006D0CB3" w:rsidRDefault="006D0CB3" w:rsidP="001B5B15">
      <w:pPr>
        <w:jc w:val="both"/>
      </w:pPr>
      <w:r w:rsidRPr="006D0CB3">
        <w:t xml:space="preserve">Nel secondo costruiamo un processo disciplinato per riconoscere tempestivamente che </w:t>
      </w:r>
      <w:r w:rsidRPr="006D0CB3">
        <w:rPr>
          <w:b/>
          <w:bCs/>
        </w:rPr>
        <w:t>le condizioni del futuro potrebbero stare cambiando</w:t>
      </w:r>
      <w:r w:rsidRPr="006D0CB3">
        <w:t>.</w:t>
      </w:r>
    </w:p>
    <w:p w14:paraId="60A97C39" w14:textId="77777777" w:rsidR="006D0CB3" w:rsidRPr="006D0CB3" w:rsidRDefault="006D0CB3" w:rsidP="001B5B15">
      <w:pPr>
        <w:jc w:val="both"/>
      </w:pPr>
      <w:r w:rsidRPr="00DF21DA">
        <w:rPr>
          <w:u w:val="single"/>
        </w:rPr>
        <w:t>L’intelligence opera inevitabilmente in condizioni di incertezza. Anche il sistema di indicatori più sofisticato non può eliminare questa caratteristica</w:t>
      </w:r>
      <w:r w:rsidRPr="006D0CB3">
        <w:t>.</w:t>
      </w:r>
    </w:p>
    <w:p w14:paraId="610F7F75" w14:textId="77777777" w:rsidR="006D0CB3" w:rsidRPr="006D0CB3" w:rsidRDefault="006D0CB3" w:rsidP="001B5B15">
      <w:pPr>
        <w:jc w:val="both"/>
      </w:pPr>
      <w:r w:rsidRPr="000D64D4">
        <w:rPr>
          <w:u w:val="single"/>
        </w:rPr>
        <w:t>Può però rendere l’incertezza più strutturata, esplicita e gestibile</w:t>
      </w:r>
      <w:r w:rsidRPr="006D0CB3">
        <w:t>.</w:t>
      </w:r>
    </w:p>
    <w:p w14:paraId="2A9982CC" w14:textId="60A86A03" w:rsidR="006D0CB3" w:rsidRPr="006D0CB3" w:rsidRDefault="006D0CB3" w:rsidP="001B5B15">
      <w:pPr>
        <w:jc w:val="both"/>
      </w:pPr>
      <w:r w:rsidRPr="006D0CB3">
        <w:t xml:space="preserve">E, soprattutto, può consentire al </w:t>
      </w:r>
      <w:r w:rsidR="004D0E1E">
        <w:t>Decisore</w:t>
      </w:r>
      <w:r w:rsidRPr="006D0CB3">
        <w:t xml:space="preserve"> di comprendere non soltanto quale scenario l’analista consideri più plausibile, ma anche </w:t>
      </w:r>
      <w:r w:rsidRPr="006D0CB3">
        <w:rPr>
          <w:b/>
          <w:bCs/>
        </w:rPr>
        <w:t>perché il giudizio sia cambiato</w:t>
      </w:r>
      <w:r w:rsidRPr="006D0CB3">
        <w:t>.</w:t>
      </w:r>
    </w:p>
    <w:p w14:paraId="5E3B9709" w14:textId="77777777" w:rsidR="006D0CB3" w:rsidRPr="00E5721D" w:rsidRDefault="006D0CB3" w:rsidP="00AE7DE7">
      <w:pPr>
        <w:pStyle w:val="Titolo2"/>
        <w:spacing w:before="240"/>
      </w:pPr>
      <w:r w:rsidRPr="00E5721D">
        <w:t>Definire gli indicatori prima degli eventi</w:t>
      </w:r>
    </w:p>
    <w:p w14:paraId="2F1E26B0" w14:textId="77777777" w:rsidR="006D0CB3" w:rsidRPr="006D0CB3" w:rsidRDefault="006D0CB3" w:rsidP="00AE7DE7">
      <w:pPr>
        <w:spacing w:before="100" w:beforeAutospacing="1"/>
        <w:jc w:val="both"/>
      </w:pPr>
      <w:r w:rsidRPr="006D0CB3">
        <w:t>Esiste infine un problema metodologico particolarmente rilevante: il momento nel quale definiamo gli indicatori.</w:t>
      </w:r>
    </w:p>
    <w:p w14:paraId="32BEEF6D" w14:textId="77777777" w:rsidR="006D0CB3" w:rsidRPr="006D0CB3" w:rsidRDefault="006D0CB3" w:rsidP="001B5B15">
      <w:pPr>
        <w:jc w:val="both"/>
      </w:pPr>
      <w:r w:rsidRPr="006D0CB3">
        <w:t>Dopo che un evento si è verificato è relativamente semplice ricostruire una sequenza di segnali e affermare che, osservandoli attentamente, avremmo potuto prevederne l’esito.</w:t>
      </w:r>
    </w:p>
    <w:p w14:paraId="61F3F8FE" w14:textId="726A6DB7" w:rsidR="006D0CB3" w:rsidRPr="006D0CB3" w:rsidRDefault="006D0CB3" w:rsidP="001B5B15">
      <w:pPr>
        <w:jc w:val="both"/>
      </w:pPr>
      <w:r w:rsidRPr="006D0CB3">
        <w:t>È il terreno tipico del</w:t>
      </w:r>
      <w:r w:rsidR="00A24273">
        <w:t xml:space="preserve"> </w:t>
      </w:r>
      <w:r w:rsidR="007E14ED" w:rsidRPr="007E14ED">
        <w:rPr>
          <w:b/>
          <w:bCs/>
        </w:rPr>
        <w:t>bias del senno di poi</w:t>
      </w:r>
      <w:r w:rsidR="007E14ED" w:rsidRPr="007E14ED">
        <w:t xml:space="preserve"> (in </w:t>
      </w:r>
      <w:r w:rsidR="007E14ED" w:rsidRPr="00A24273">
        <w:t xml:space="preserve">inglese </w:t>
      </w:r>
      <w:proofErr w:type="spellStart"/>
      <w:r w:rsidR="007E14ED" w:rsidRPr="00A24273">
        <w:t>hindsight</w:t>
      </w:r>
      <w:proofErr w:type="spellEnd"/>
      <w:r w:rsidR="007E14ED" w:rsidRPr="00A24273">
        <w:t xml:space="preserve"> bias</w:t>
      </w:r>
      <w:r w:rsidR="007E14ED" w:rsidRPr="007E14ED">
        <w:t>)</w:t>
      </w:r>
      <w:r w:rsidR="009C61C8">
        <w:rPr>
          <w:rStyle w:val="Rimandonotaapidipagina"/>
        </w:rPr>
        <w:footnoteReference w:id="1"/>
      </w:r>
      <w:r w:rsidR="00A24273">
        <w:t>.</w:t>
      </w:r>
    </w:p>
    <w:p w14:paraId="67A424A7" w14:textId="77777777" w:rsidR="006D0CB3" w:rsidRPr="006D0CB3" w:rsidRDefault="006D0CB3" w:rsidP="001B5B15">
      <w:pPr>
        <w:jc w:val="both"/>
      </w:pPr>
      <w:r w:rsidRPr="006D0CB3">
        <w:lastRenderedPageBreak/>
        <w:t xml:space="preserve">Molto più difficile è stabilire </w:t>
      </w:r>
      <w:r w:rsidRPr="006D0CB3">
        <w:rPr>
          <w:b/>
          <w:bCs/>
        </w:rPr>
        <w:t>ex ante</w:t>
      </w:r>
      <w:r w:rsidRPr="006D0CB3">
        <w:t xml:space="preserve"> che cosa dovremmo aspettarci di osservare qualora una determinata ipotesi fosse corretta.</w:t>
      </w:r>
    </w:p>
    <w:p w14:paraId="1F1F0897" w14:textId="77777777" w:rsidR="006D0CB3" w:rsidRPr="006D0CB3" w:rsidRDefault="006D0CB3" w:rsidP="001B5B15">
      <w:pPr>
        <w:jc w:val="both"/>
      </w:pPr>
      <w:r w:rsidRPr="006D0CB3">
        <w:t>Un sistema di indicatori dovrebbe quindi essere costruito, per quanto possibile, prima che gli eventi da monitorare si manifestino.</w:t>
      </w:r>
    </w:p>
    <w:p w14:paraId="04994E3E" w14:textId="77777777" w:rsidR="006D0CB3" w:rsidRPr="006D0CB3" w:rsidRDefault="006D0CB3" w:rsidP="001B5B15">
      <w:pPr>
        <w:jc w:val="both"/>
      </w:pPr>
      <w:r w:rsidRPr="006D0CB3">
        <w:t>Per ciascuna ipotesi potremmo chiederci:</w:t>
      </w:r>
    </w:p>
    <w:p w14:paraId="085B5BA5" w14:textId="77777777" w:rsidR="006D0CB3" w:rsidRPr="006D0CB3" w:rsidRDefault="006D0CB3" w:rsidP="00F6347A">
      <w:pPr>
        <w:pStyle w:val="Paragrafoelenco"/>
        <w:numPr>
          <w:ilvl w:val="0"/>
          <w:numId w:val="19"/>
        </w:numPr>
        <w:jc w:val="both"/>
      </w:pPr>
      <w:r w:rsidRPr="006D0CB3">
        <w:t>che cosa dovremmo osservare se fosse corretta?</w:t>
      </w:r>
    </w:p>
    <w:p w14:paraId="33D7887B" w14:textId="77777777" w:rsidR="006D0CB3" w:rsidRPr="006D0CB3" w:rsidRDefault="006D0CB3" w:rsidP="00F6347A">
      <w:pPr>
        <w:pStyle w:val="Paragrafoelenco"/>
        <w:numPr>
          <w:ilvl w:val="0"/>
          <w:numId w:val="19"/>
        </w:numPr>
        <w:jc w:val="both"/>
      </w:pPr>
      <w:r w:rsidRPr="006D0CB3">
        <w:t>che cosa sarebbe invece sorprendente osservare?</w:t>
      </w:r>
    </w:p>
    <w:p w14:paraId="6E9BB1B8" w14:textId="77777777" w:rsidR="006D0CB3" w:rsidRPr="006D0CB3" w:rsidRDefault="006D0CB3" w:rsidP="00F6347A">
      <w:pPr>
        <w:pStyle w:val="Paragrafoelenco"/>
        <w:numPr>
          <w:ilvl w:val="0"/>
          <w:numId w:val="19"/>
        </w:numPr>
        <w:jc w:val="both"/>
      </w:pPr>
      <w:r w:rsidRPr="006D0CB3">
        <w:t>quali indicatori sarebbero compatibili anche con ipotesi alternative?</w:t>
      </w:r>
    </w:p>
    <w:p w14:paraId="65FDD448" w14:textId="77777777" w:rsidR="006D0CB3" w:rsidRPr="006D0CB3" w:rsidRDefault="006D0CB3" w:rsidP="00F6347A">
      <w:pPr>
        <w:pStyle w:val="Paragrafoelenco"/>
        <w:numPr>
          <w:ilvl w:val="0"/>
          <w:numId w:val="19"/>
        </w:numPr>
        <w:jc w:val="both"/>
      </w:pPr>
      <w:r w:rsidRPr="006D0CB3">
        <w:t>quali combinazioni di segnali sarebbero realmente diagnostiche?</w:t>
      </w:r>
    </w:p>
    <w:p w14:paraId="55C5B27C" w14:textId="77777777" w:rsidR="006D0CB3" w:rsidRPr="006D0CB3" w:rsidRDefault="006D0CB3" w:rsidP="00F6347A">
      <w:pPr>
        <w:pStyle w:val="Paragrafoelenco"/>
        <w:numPr>
          <w:ilvl w:val="0"/>
          <w:numId w:val="19"/>
        </w:numPr>
        <w:jc w:val="both"/>
      </w:pPr>
      <w:r w:rsidRPr="006D0CB3">
        <w:t>quale evidenza dovrebbe indurci a modificare la nostra valutazione?</w:t>
      </w:r>
    </w:p>
    <w:p w14:paraId="3BCF9FC8" w14:textId="3446EC31" w:rsidR="006D0CB3" w:rsidRPr="006D0CB3" w:rsidRDefault="006D0CB3" w:rsidP="001B5B15">
      <w:pPr>
        <w:jc w:val="both"/>
      </w:pPr>
      <w:r w:rsidRPr="006D0CB3">
        <w:t>Quest’ultima domanda è forse la più importante.</w:t>
      </w:r>
      <w:r w:rsidR="0006364D">
        <w:t xml:space="preserve"> </w:t>
      </w:r>
      <w:r w:rsidRPr="006D0CB3">
        <w:rPr>
          <w:b/>
          <w:bCs/>
        </w:rPr>
        <w:t>Che cosa dovrebbe farci cambiare idea?</w:t>
      </w:r>
    </w:p>
    <w:p w14:paraId="273197F8" w14:textId="4BD8A0A3" w:rsidR="006D0CB3" w:rsidRPr="006D0CB3" w:rsidRDefault="006D0CB3" w:rsidP="001B5B15">
      <w:pPr>
        <w:jc w:val="both"/>
      </w:pPr>
      <w:r w:rsidRPr="006D0CB3">
        <w:t>Definirlo anticipatamente introduce nel processo una forma di disciplina analitica. Riduce il rischio di reinterpretare continuamente le evidenze per adattarle alla nostra valutazione iniziale e contrasta</w:t>
      </w:r>
      <w:r w:rsidR="002A5D86">
        <w:t xml:space="preserve"> il</w:t>
      </w:r>
      <w:r w:rsidRPr="006D0CB3">
        <w:t xml:space="preserve"> </w:t>
      </w:r>
      <w:proofErr w:type="spellStart"/>
      <w:r w:rsidRPr="006D0CB3">
        <w:t>confirmation</w:t>
      </w:r>
      <w:proofErr w:type="spellEnd"/>
      <w:r w:rsidRPr="006D0CB3">
        <w:t xml:space="preserve"> bias, escalation of commitment e letture opportunistiche degli eventi.</w:t>
      </w:r>
    </w:p>
    <w:p w14:paraId="349FD68B" w14:textId="77777777" w:rsidR="006D0CB3" w:rsidRPr="006D0CB3" w:rsidRDefault="006D0CB3" w:rsidP="00AE7DE7">
      <w:pPr>
        <w:pStyle w:val="Titolo2"/>
        <w:spacing w:before="240"/>
        <w:rPr>
          <w:b/>
          <w:bCs/>
          <w:kern w:val="0"/>
          <w14:ligatures w14:val="none"/>
        </w:rPr>
      </w:pPr>
      <w:r w:rsidRPr="006D0CB3">
        <w:rPr>
          <w:b/>
          <w:bCs/>
          <w:kern w:val="0"/>
          <w14:ligatures w14:val="none"/>
        </w:rPr>
        <w:t>Dall’</w:t>
      </w:r>
      <w:proofErr w:type="spellStart"/>
      <w:r w:rsidRPr="006D0CB3">
        <w:rPr>
          <w:b/>
          <w:bCs/>
          <w:kern w:val="0"/>
          <w14:ligatures w14:val="none"/>
        </w:rPr>
        <w:t>Indicator</w:t>
      </w:r>
      <w:proofErr w:type="spellEnd"/>
      <w:r w:rsidRPr="006D0CB3">
        <w:rPr>
          <w:b/>
          <w:bCs/>
          <w:kern w:val="0"/>
          <w14:ligatures w14:val="none"/>
        </w:rPr>
        <w:t xml:space="preserve"> Analysis al giudizio analitico</w:t>
      </w:r>
    </w:p>
    <w:p w14:paraId="72F656FA" w14:textId="77777777" w:rsidR="006D0CB3" w:rsidRPr="006D0CB3" w:rsidRDefault="006D0CB3" w:rsidP="00AE7DE7">
      <w:pPr>
        <w:spacing w:before="100" w:beforeAutospacing="1"/>
        <w:jc w:val="both"/>
      </w:pPr>
      <w:r w:rsidRPr="006D0CB3">
        <w:t>Considerata in questa prospettiva, l’</w:t>
      </w:r>
      <w:proofErr w:type="spellStart"/>
      <w:r w:rsidRPr="006D0CB3">
        <w:t>Indicator</w:t>
      </w:r>
      <w:proofErr w:type="spellEnd"/>
      <w:r w:rsidRPr="006D0CB3">
        <w:t xml:space="preserve"> Analysis non è una tecnica isolata.</w:t>
      </w:r>
    </w:p>
    <w:p w14:paraId="6F73B5C5" w14:textId="77777777" w:rsidR="006D0CB3" w:rsidRPr="006D0CB3" w:rsidRDefault="006D0CB3" w:rsidP="001B5B15">
      <w:pPr>
        <w:jc w:val="both"/>
      </w:pPr>
      <w:r w:rsidRPr="006D0CB3">
        <w:t>Può diventare un punto di raccordo tra diverse fasi del processo intelligence.</w:t>
      </w:r>
    </w:p>
    <w:p w14:paraId="451137A2" w14:textId="77777777" w:rsidR="006D0CB3" w:rsidRPr="006D0CB3" w:rsidRDefault="006D0CB3" w:rsidP="001B5B15">
      <w:pPr>
        <w:jc w:val="both"/>
      </w:pPr>
      <w:r w:rsidRPr="006D0CB3">
        <w:t>Le ipotesi concorrenti definiscono ciò che potrebbe spiegare la situazione.</w:t>
      </w:r>
    </w:p>
    <w:p w14:paraId="40901F70" w14:textId="77777777" w:rsidR="006D0CB3" w:rsidRPr="006D0CB3" w:rsidRDefault="006D0CB3" w:rsidP="001B5B15">
      <w:pPr>
        <w:jc w:val="both"/>
      </w:pPr>
      <w:r w:rsidRPr="006D0CB3">
        <w:t>Gli indicatori stabiliscono ciò che dovremmo osservare nel tempo.</w:t>
      </w:r>
    </w:p>
    <w:p w14:paraId="7412E081" w14:textId="77777777" w:rsidR="006D0CB3" w:rsidRPr="006D0CB3" w:rsidRDefault="006D0CB3" w:rsidP="001B5B15">
      <w:pPr>
        <w:jc w:val="both"/>
      </w:pPr>
      <w:r w:rsidRPr="006D0CB3">
        <w:t>La raccolta produce nuove evidenze.</w:t>
      </w:r>
    </w:p>
    <w:p w14:paraId="133BA662" w14:textId="77777777" w:rsidR="006D0CB3" w:rsidRPr="006D0CB3" w:rsidRDefault="006D0CB3" w:rsidP="001B5B15">
      <w:pPr>
        <w:jc w:val="both"/>
      </w:pPr>
      <w:r w:rsidRPr="006D0CB3">
        <w:t>Il confronto tra evidenze e ipotesi consente di aggiornare il giudizio.</w:t>
      </w:r>
    </w:p>
    <w:p w14:paraId="726AB845" w14:textId="7CFE2AC0" w:rsidR="006D0CB3" w:rsidRPr="006D0CB3" w:rsidRDefault="006D0CB3" w:rsidP="001B5B15">
      <w:pPr>
        <w:jc w:val="both"/>
      </w:pPr>
      <w:r w:rsidRPr="006D0CB3">
        <w:t xml:space="preserve">Il warning comunica al </w:t>
      </w:r>
      <w:r w:rsidR="004D0E1E">
        <w:t>Decisore</w:t>
      </w:r>
      <w:r w:rsidRPr="006D0CB3">
        <w:t xml:space="preserve"> quando il quadro sta cambiando in modo sufficientemente significativo da richiedere attenzione o azione.</w:t>
      </w:r>
    </w:p>
    <w:p w14:paraId="4CA90F3B" w14:textId="24921BBF" w:rsidR="006D0CB3" w:rsidRPr="006D0CB3" w:rsidRDefault="006D0CB3" w:rsidP="001B5B15">
      <w:pPr>
        <w:jc w:val="both"/>
      </w:pPr>
      <w:r w:rsidRPr="006D0CB3">
        <w:t>Il processo può quindi essere rappresentato come un ciclo:</w:t>
      </w:r>
      <w:r w:rsidR="00156573">
        <w:t xml:space="preserve"> </w:t>
      </w:r>
      <w:r w:rsidRPr="006D0CB3">
        <w:rPr>
          <w:b/>
          <w:bCs/>
        </w:rPr>
        <w:t>Ipotesi → Indicatori → Monitoraggio → Evidenze → Rivalutazione → Warning → Nuove ipotesi</w:t>
      </w:r>
    </w:p>
    <w:p w14:paraId="0CBA2434" w14:textId="769429AD" w:rsidR="006D0CB3" w:rsidRPr="006D0CB3" w:rsidRDefault="006D0CB3" w:rsidP="001B5B15">
      <w:pPr>
        <w:jc w:val="both"/>
      </w:pPr>
      <w:r w:rsidRPr="006D0CB3">
        <w:t xml:space="preserve">Non si tratta più di compilare </w:t>
      </w:r>
      <w:r w:rsidR="00063D72">
        <w:t xml:space="preserve">“semplicemente” </w:t>
      </w:r>
      <w:r w:rsidRPr="006D0CB3">
        <w:t>una checklist.</w:t>
      </w:r>
    </w:p>
    <w:p w14:paraId="5C0B9A3C" w14:textId="77777777" w:rsidR="006D0CB3" w:rsidRPr="006D0CB3" w:rsidRDefault="006D0CB3" w:rsidP="001B5B15">
      <w:pPr>
        <w:jc w:val="both"/>
      </w:pPr>
      <w:r w:rsidRPr="006D0CB3">
        <w:t xml:space="preserve">Si tratta di costruire un </w:t>
      </w:r>
      <w:r w:rsidRPr="006D0CB3">
        <w:rPr>
          <w:b/>
          <w:bCs/>
        </w:rPr>
        <w:t>sistema dinamico di apprendimento analitico</w:t>
      </w:r>
      <w:r w:rsidRPr="006D0CB3">
        <w:t>.</w:t>
      </w:r>
    </w:p>
    <w:p w14:paraId="4428C43E" w14:textId="77777777" w:rsidR="006D0CB3" w:rsidRPr="00711CBC" w:rsidRDefault="006D0CB3" w:rsidP="00711CBC">
      <w:pPr>
        <w:pStyle w:val="Titolo2"/>
        <w:spacing w:before="240"/>
        <w:rPr>
          <w:b/>
          <w:bCs/>
          <w:kern w:val="0"/>
          <w14:ligatures w14:val="none"/>
        </w:rPr>
      </w:pPr>
      <w:r w:rsidRPr="00711CBC">
        <w:rPr>
          <w:b/>
          <w:bCs/>
          <w:kern w:val="0"/>
          <w14:ligatures w14:val="none"/>
        </w:rPr>
        <w:lastRenderedPageBreak/>
        <w:t>Conclusioni: sapere che cosa dovrebbe farci cambiare idea</w:t>
      </w:r>
    </w:p>
    <w:p w14:paraId="6AFD4D32" w14:textId="77777777" w:rsidR="006D0CB3" w:rsidRPr="006D0CB3" w:rsidRDefault="006D0CB3" w:rsidP="00711CBC">
      <w:pPr>
        <w:spacing w:before="100" w:beforeAutospacing="1"/>
        <w:jc w:val="both"/>
      </w:pPr>
      <w:r w:rsidRPr="006D0CB3">
        <w:t>La crescente disponibilità di dati, strumenti OSINT, sistemi di monitoraggio automatizzato e intelligenza artificiale rende oggi relativamente semplice individuare enormi quantità di segnali.</w:t>
      </w:r>
    </w:p>
    <w:p w14:paraId="7062F542" w14:textId="6225CD68" w:rsidR="006D0CB3" w:rsidRPr="006D0CB3" w:rsidRDefault="006D0CB3" w:rsidP="001B5B15">
      <w:pPr>
        <w:jc w:val="both"/>
      </w:pPr>
      <w:r w:rsidRPr="006D0CB3">
        <w:t>Ma il problema fondamentale dell’intelligence rimane invariato.</w:t>
      </w:r>
      <w:r w:rsidR="00FB4318">
        <w:t xml:space="preserve"> </w:t>
      </w:r>
      <w:r w:rsidRPr="006D0CB3">
        <w:t>Non consiste nel vedere tutto.</w:t>
      </w:r>
    </w:p>
    <w:p w14:paraId="1F67CF14" w14:textId="77777777" w:rsidR="006D0CB3" w:rsidRPr="006D0CB3" w:rsidRDefault="006D0CB3" w:rsidP="001B5B15">
      <w:pPr>
        <w:jc w:val="both"/>
      </w:pPr>
      <w:r w:rsidRPr="006D0CB3">
        <w:t xml:space="preserve">Consiste nel comprendere </w:t>
      </w:r>
      <w:r w:rsidRPr="006D0CB3">
        <w:rPr>
          <w:b/>
          <w:bCs/>
        </w:rPr>
        <w:t>che cosa conta</w:t>
      </w:r>
      <w:r w:rsidRPr="006D0CB3">
        <w:t>.</w:t>
      </w:r>
    </w:p>
    <w:p w14:paraId="7AC97D24" w14:textId="52CCF9AE" w:rsidR="006D0CB3" w:rsidRPr="006D0CB3" w:rsidRDefault="006D0CB3" w:rsidP="001B5B15">
      <w:pPr>
        <w:jc w:val="both"/>
      </w:pPr>
      <w:r w:rsidRPr="006D0CB3">
        <w:t>Per questo un sistema di indicatori efficace dovrebbe consentire all’analista di rispondere almeno a tre domande:</w:t>
      </w:r>
      <w:r w:rsidR="001B5B15">
        <w:t xml:space="preserve"> </w:t>
      </w:r>
      <w:r w:rsidRPr="006D0CB3">
        <w:rPr>
          <w:b/>
          <w:bCs/>
        </w:rPr>
        <w:t>Che cosa sto osservando?</w:t>
      </w:r>
      <w:r w:rsidR="001B5B15">
        <w:rPr>
          <w:b/>
          <w:bCs/>
        </w:rPr>
        <w:t xml:space="preserve"> </w:t>
      </w:r>
      <w:r w:rsidRPr="006D0CB3">
        <w:rPr>
          <w:b/>
          <w:bCs/>
        </w:rPr>
        <w:t>Perché è significativo?</w:t>
      </w:r>
      <w:r w:rsidR="001B5B15">
        <w:rPr>
          <w:b/>
          <w:bCs/>
        </w:rPr>
        <w:t xml:space="preserve"> </w:t>
      </w:r>
      <w:r w:rsidRPr="006D0CB3">
        <w:rPr>
          <w:b/>
          <w:bCs/>
        </w:rPr>
        <w:t>Che cosa dovrebbe farmi cambiare idea?</w:t>
      </w:r>
    </w:p>
    <w:p w14:paraId="1ED2B9FA" w14:textId="77777777" w:rsidR="006D0CB3" w:rsidRPr="006D0CB3" w:rsidRDefault="006D0CB3" w:rsidP="001B5B15">
      <w:pPr>
        <w:jc w:val="both"/>
      </w:pPr>
      <w:r w:rsidRPr="006D0CB3">
        <w:t>È quest’ultima domanda a trasformare il monitoraggio in analisi.</w:t>
      </w:r>
    </w:p>
    <w:p w14:paraId="153574E1" w14:textId="77777777" w:rsidR="006D0CB3" w:rsidRPr="006D0CB3" w:rsidRDefault="006D0CB3" w:rsidP="001B5B15">
      <w:pPr>
        <w:jc w:val="both"/>
      </w:pPr>
      <w:r w:rsidRPr="006D0CB3">
        <w:t>Perché un indicatore non serve a dimostrare che avevamo ragione.</w:t>
      </w:r>
    </w:p>
    <w:p w14:paraId="3ED19309" w14:textId="77777777" w:rsidR="006D0CB3" w:rsidRPr="006D0CB3" w:rsidRDefault="006D0CB3" w:rsidP="001B5B15">
      <w:pPr>
        <w:jc w:val="both"/>
      </w:pPr>
      <w:r w:rsidRPr="006D0CB3">
        <w:t>Serve, soprattutto, ad aiutarci a riconoscere tempestivamente quando potremmo avere torto.</w:t>
      </w:r>
    </w:p>
    <w:p w14:paraId="09029C0F" w14:textId="77777777" w:rsidR="006D0CB3" w:rsidRPr="006D0CB3" w:rsidRDefault="006D0CB3" w:rsidP="001B5B15">
      <w:pPr>
        <w:jc w:val="both"/>
      </w:pPr>
      <w:r w:rsidRPr="006D0CB3">
        <w:t>Ed è qui che emerge la funzione più autentica dell’</w:t>
      </w:r>
      <w:proofErr w:type="spellStart"/>
      <w:r w:rsidRPr="006D0CB3">
        <w:t>early</w:t>
      </w:r>
      <w:proofErr w:type="spellEnd"/>
      <w:r w:rsidRPr="006D0CB3">
        <w:t xml:space="preserve"> warning.</w:t>
      </w:r>
    </w:p>
    <w:p w14:paraId="4429B27B" w14:textId="4AFEEF75" w:rsidR="006D0CB3" w:rsidRPr="006D0CB3" w:rsidRDefault="006D0CB3" w:rsidP="001B5B15">
      <w:pPr>
        <w:jc w:val="both"/>
      </w:pPr>
      <w:r w:rsidRPr="006D0CB3">
        <w:rPr>
          <w:b/>
          <w:bCs/>
        </w:rPr>
        <w:t xml:space="preserve">Il compito del warning non è indovinare quando inizierà una crisi. È ridurre il rischio che il </w:t>
      </w:r>
      <w:r w:rsidR="004D0E1E">
        <w:rPr>
          <w:b/>
          <w:bCs/>
        </w:rPr>
        <w:t>Decisore</w:t>
      </w:r>
      <w:r w:rsidRPr="006D0CB3">
        <w:rPr>
          <w:b/>
          <w:bCs/>
        </w:rPr>
        <w:t xml:space="preserve"> venga sorpreso da una crisi che avremmo potuto riconoscere.</w:t>
      </w:r>
    </w:p>
    <w:sectPr w:rsidR="006D0CB3" w:rsidRPr="006D0CB3" w:rsidSect="00A93BF6">
      <w:headerReference w:type="default" r:id="rId12"/>
      <w:footerReference w:type="default" r:id="rId13"/>
      <w:pgSz w:w="11906" w:h="16838"/>
      <w:pgMar w:top="1417" w:right="1134" w:bottom="1134" w:left="1134" w:header="709"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54282" w14:textId="77777777" w:rsidR="00D66A64" w:rsidRDefault="00D66A64" w:rsidP="00A57635">
      <w:pPr>
        <w:spacing w:after="0" w:line="240" w:lineRule="auto"/>
      </w:pPr>
      <w:r>
        <w:separator/>
      </w:r>
    </w:p>
  </w:endnote>
  <w:endnote w:type="continuationSeparator" w:id="0">
    <w:p w14:paraId="74552DFC" w14:textId="77777777" w:rsidR="00D66A64" w:rsidRDefault="00D66A64" w:rsidP="00A57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19447" w14:textId="3754542A" w:rsidR="002B71B1" w:rsidRPr="002B71B1" w:rsidRDefault="00A372D7" w:rsidP="005D087B">
    <w:pPr>
      <w:pStyle w:val="Pidipagina"/>
      <w:jc w:val="right"/>
      <w:rPr>
        <w:sz w:val="20"/>
        <w:szCs w:val="20"/>
      </w:rPr>
    </w:pPr>
    <w:r w:rsidRPr="00694021">
      <w:rPr>
        <w:noProof/>
        <w:sz w:val="20"/>
        <w:szCs w:val="20"/>
      </w:rPr>
      <mc:AlternateContent>
        <mc:Choice Requires="wps">
          <w:drawing>
            <wp:anchor distT="45720" distB="45720" distL="114300" distR="114300" simplePos="0" relativeHeight="251660288" behindDoc="0" locked="0" layoutInCell="1" allowOverlap="1" wp14:anchorId="392D9039" wp14:editId="6FA8A701">
              <wp:simplePos x="0" y="0"/>
              <wp:positionH relativeFrom="margin">
                <wp:align>left</wp:align>
              </wp:positionH>
              <wp:positionV relativeFrom="paragraph">
                <wp:posOffset>-51435</wp:posOffset>
              </wp:positionV>
              <wp:extent cx="1464310" cy="1404620"/>
              <wp:effectExtent l="0" t="0" r="2540" b="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310" cy="1404620"/>
                      </a:xfrm>
                      <a:prstGeom prst="rect">
                        <a:avLst/>
                      </a:prstGeom>
                      <a:solidFill>
                        <a:srgbClr val="FFFFFF"/>
                      </a:solidFill>
                      <a:ln w="9525">
                        <a:noFill/>
                        <a:miter lim="800000"/>
                        <a:headEnd/>
                        <a:tailEnd/>
                      </a:ln>
                    </wps:spPr>
                    <wps:txbx>
                      <w:txbxContent>
                        <w:p w14:paraId="2F690DC4" w14:textId="77777777" w:rsidR="00A372D7" w:rsidRPr="00694021" w:rsidRDefault="00A372D7" w:rsidP="00A372D7">
                          <w:pPr>
                            <w:pStyle w:val="Pidipagina"/>
                            <w:rPr>
                              <w:sz w:val="20"/>
                              <w:szCs w:val="20"/>
                            </w:rPr>
                          </w:pPr>
                          <w:r w:rsidRPr="00694021">
                            <w:rPr>
                              <w:sz w:val="20"/>
                              <w:szCs w:val="20"/>
                            </w:rPr>
                            <w:t xml:space="preserve">© 2026 Giovanni Conio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92D9039" id="_x0000_t202" coordsize="21600,21600" o:spt="202" path="m,l,21600r21600,l21600,xe">
              <v:stroke joinstyle="miter"/>
              <v:path gradientshapeok="t" o:connecttype="rect"/>
            </v:shapetype>
            <v:shape id="Casella di testo 2" o:spid="_x0000_s1028" type="#_x0000_t202" style="position:absolute;left:0;text-align:left;margin-left:0;margin-top:-4.05pt;width:115.3pt;height:110.6pt;z-index:25166028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" stroked="f">
              <v:textbox style="mso-fit-shape-to-text:t">
                <w:txbxContent>
                  <w:p w14:paraId="2F690DC4" w14:textId="77777777" w:rsidR="00A372D7" w:rsidRPr="00694021" w:rsidRDefault="00A372D7" w:rsidP="00A372D7">
                    <w:pPr>
                      <w:pStyle w:val="Pidipagina"/>
                      <w:rPr>
                        <w:sz w:val="20"/>
                        <w:szCs w:val="20"/>
                      </w:rPr>
                    </w:pPr>
                    <w:r w:rsidRPr="00694021">
                      <w:rPr>
                        <w:sz w:val="20"/>
                        <w:szCs w:val="20"/>
                      </w:rPr>
                      <w:t xml:space="preserve">© 2026 Giovanni Conio </w:t>
                    </w:r>
                  </w:p>
                </w:txbxContent>
              </v:textbox>
              <w10:wrap type="square" anchorx="margin"/>
            </v:shape>
          </w:pict>
        </mc:Fallback>
      </mc:AlternateContent>
    </w:r>
    <w:r w:rsidR="002B71B1" w:rsidRPr="002B71B1">
      <w:rPr>
        <w:sz w:val="20"/>
        <w:szCs w:val="20"/>
      </w:rPr>
      <w:t>https://lab4int.com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20798" w14:textId="77777777" w:rsidR="00D66A64" w:rsidRDefault="00D66A64" w:rsidP="00A57635">
      <w:pPr>
        <w:spacing w:after="0" w:line="240" w:lineRule="auto"/>
      </w:pPr>
      <w:r>
        <w:separator/>
      </w:r>
    </w:p>
  </w:footnote>
  <w:footnote w:type="continuationSeparator" w:id="0">
    <w:p w14:paraId="6F549701" w14:textId="77777777" w:rsidR="00D66A64" w:rsidRDefault="00D66A64" w:rsidP="00A57635">
      <w:pPr>
        <w:spacing w:after="0" w:line="240" w:lineRule="auto"/>
      </w:pPr>
      <w:r>
        <w:continuationSeparator/>
      </w:r>
    </w:p>
  </w:footnote>
  <w:footnote w:id="1">
    <w:p w14:paraId="78000275" w14:textId="143A9E1F" w:rsidR="009C61C8" w:rsidRPr="009C61C8" w:rsidRDefault="009C61C8" w:rsidP="00F37355">
      <w:pPr>
        <w:pStyle w:val="Testonotaapidipagina"/>
        <w:tabs>
          <w:tab w:val="left" w:pos="142"/>
        </w:tabs>
        <w:ind w:left="142" w:hanging="142"/>
        <w:jc w:val="both"/>
        <w:rPr>
          <w:sz w:val="18"/>
          <w:szCs w:val="18"/>
        </w:rPr>
      </w:pPr>
      <w:r>
        <w:rPr>
          <w:rStyle w:val="Rimandonotaapidipagina"/>
        </w:rPr>
        <w:footnoteRef/>
      </w:r>
      <w:r>
        <w:t xml:space="preserve"> </w:t>
      </w:r>
      <w:r w:rsidRPr="009C61C8">
        <w:rPr>
          <w:sz w:val="18"/>
          <w:szCs w:val="18"/>
        </w:rPr>
        <w:t xml:space="preserve">Molto brevemente, si tratta della falsa credenza che gli eventi passati fossero facili da prevedere prima che accadessero. Le persone guardano il risultato finale e pensano "Lo sapevo fin dall'inizio", anche se prima non ne avevano idea.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9334" w14:textId="799B5871" w:rsidR="00A57635" w:rsidRPr="00380273" w:rsidRDefault="000C600E" w:rsidP="007F2C61">
    <w:pPr>
      <w:pStyle w:val="Nessunaspaziatura"/>
      <w:jc w:val="center"/>
    </w:pPr>
    <w:r w:rsidRPr="00380273">
      <w:rPr>
        <w:noProof/>
      </w:rPr>
      <w:drawing>
        <wp:anchor distT="0" distB="0" distL="114300" distR="114300" simplePos="0" relativeHeight="251658240" behindDoc="0" locked="0" layoutInCell="1" allowOverlap="1" wp14:anchorId="62F6AEF3" wp14:editId="17FF9548">
          <wp:simplePos x="0" y="0"/>
          <wp:positionH relativeFrom="leftMargin">
            <wp:align>right</wp:align>
          </wp:positionH>
          <wp:positionV relativeFrom="paragraph">
            <wp:posOffset>-252438</wp:posOffset>
          </wp:positionV>
          <wp:extent cx="444500" cy="506730"/>
          <wp:effectExtent l="0" t="0" r="0" b="7620"/>
          <wp:wrapSquare wrapText="bothSides"/>
          <wp:docPr id="158032096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450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7684" w:rsidRPr="00867684">
      <w:t xml:space="preserve"> </w:t>
    </w:r>
    <w:r w:rsidR="00867684" w:rsidRPr="006D0CB3">
      <w:t>Un indicatore non è una previsione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87881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ECC10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8C3FD5"/>
    <w:multiLevelType w:val="hybridMultilevel"/>
    <w:tmpl w:val="3DCE898E"/>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11523C54"/>
    <w:multiLevelType w:val="hybridMultilevel"/>
    <w:tmpl w:val="21123114"/>
    <w:lvl w:ilvl="0" w:tplc="037AC2D8">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11E10531"/>
    <w:multiLevelType w:val="hybridMultilevel"/>
    <w:tmpl w:val="95009192"/>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14105A13"/>
    <w:multiLevelType w:val="multilevel"/>
    <w:tmpl w:val="009A6F16"/>
    <w:lvl w:ilvl="0">
      <w:numFmt w:val="bullet"/>
      <w:lvlText w:val="-"/>
      <w:lvlJc w:val="left"/>
      <w:pPr>
        <w:ind w:left="360" w:hanging="360"/>
      </w:pPr>
      <w:rPr>
        <w:rFonts w:ascii="Aptos" w:eastAsiaTheme="minorHAnsi" w:hAnsi="Aptos" w:cstheme="minorBidi"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6" w15:restartNumberingAfterBreak="0">
    <w:nsid w:val="1FC046EB"/>
    <w:multiLevelType w:val="hybridMultilevel"/>
    <w:tmpl w:val="BEA8A998"/>
    <w:lvl w:ilvl="0" w:tplc="3D043F6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38447D5"/>
    <w:multiLevelType w:val="hybridMultilevel"/>
    <w:tmpl w:val="28E42A84"/>
    <w:lvl w:ilvl="0" w:tplc="0410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AD45041"/>
    <w:multiLevelType w:val="hybridMultilevel"/>
    <w:tmpl w:val="056E97F0"/>
    <w:lvl w:ilvl="0" w:tplc="04100011">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9" w15:restartNumberingAfterBreak="0">
    <w:nsid w:val="32C90888"/>
    <w:multiLevelType w:val="hybridMultilevel"/>
    <w:tmpl w:val="14A8DE4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41581B0B"/>
    <w:multiLevelType w:val="hybridMultilevel"/>
    <w:tmpl w:val="D1649604"/>
    <w:lvl w:ilvl="0" w:tplc="01B83C26">
      <w:numFmt w:val="bullet"/>
      <w:lvlText w:val="-"/>
      <w:lvlJc w:val="left"/>
      <w:pPr>
        <w:ind w:left="931" w:hanging="571"/>
      </w:pPr>
      <w:rPr>
        <w:rFonts w:ascii="Aptos" w:eastAsiaTheme="minorHAnsi" w:hAnsi="Aptos" w:cstheme="minorBidi" w:hint="default"/>
        <w:sz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3DF0293"/>
    <w:multiLevelType w:val="hybridMultilevel"/>
    <w:tmpl w:val="4F5CE00E"/>
    <w:lvl w:ilvl="0" w:tplc="037AC2D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409186D"/>
    <w:multiLevelType w:val="hybridMultilevel"/>
    <w:tmpl w:val="8C66A706"/>
    <w:lvl w:ilvl="0" w:tplc="B01E17C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B202BAB"/>
    <w:multiLevelType w:val="hybridMultilevel"/>
    <w:tmpl w:val="0ABAC7F6"/>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5D7F2A81"/>
    <w:multiLevelType w:val="hybridMultilevel"/>
    <w:tmpl w:val="A8EE227C"/>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5DC80B63"/>
    <w:multiLevelType w:val="multilevel"/>
    <w:tmpl w:val="251E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C3092B"/>
    <w:multiLevelType w:val="multilevel"/>
    <w:tmpl w:val="E67C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61887"/>
    <w:multiLevelType w:val="hybridMultilevel"/>
    <w:tmpl w:val="347E13EC"/>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7D823018"/>
    <w:multiLevelType w:val="hybridMultilevel"/>
    <w:tmpl w:val="8892C32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340960004">
    <w:abstractNumId w:val="4"/>
  </w:num>
  <w:num w:numId="2" w16cid:durableId="2086225443">
    <w:abstractNumId w:val="11"/>
  </w:num>
  <w:num w:numId="3" w16cid:durableId="765076848">
    <w:abstractNumId w:val="17"/>
  </w:num>
  <w:num w:numId="4" w16cid:durableId="1080903284">
    <w:abstractNumId w:val="6"/>
  </w:num>
  <w:num w:numId="5" w16cid:durableId="1616522214">
    <w:abstractNumId w:val="14"/>
  </w:num>
  <w:num w:numId="6" w16cid:durableId="1236162003">
    <w:abstractNumId w:val="12"/>
  </w:num>
  <w:num w:numId="7" w16cid:durableId="128480578">
    <w:abstractNumId w:val="8"/>
  </w:num>
  <w:num w:numId="8" w16cid:durableId="1343582330">
    <w:abstractNumId w:val="13"/>
  </w:num>
  <w:num w:numId="9" w16cid:durableId="17001575">
    <w:abstractNumId w:val="2"/>
  </w:num>
  <w:num w:numId="10" w16cid:durableId="2044010937">
    <w:abstractNumId w:val="10"/>
  </w:num>
  <w:num w:numId="11" w16cid:durableId="1811897700">
    <w:abstractNumId w:val="7"/>
  </w:num>
  <w:num w:numId="12" w16cid:durableId="395788749">
    <w:abstractNumId w:val="3"/>
  </w:num>
  <w:num w:numId="13" w16cid:durableId="2130975588">
    <w:abstractNumId w:val="0"/>
  </w:num>
  <w:num w:numId="14" w16cid:durableId="1224441160">
    <w:abstractNumId w:val="5"/>
  </w:num>
  <w:num w:numId="15" w16cid:durableId="3668744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12948696">
    <w:abstractNumId w:val="15"/>
  </w:num>
  <w:num w:numId="17" w16cid:durableId="2115857858">
    <w:abstractNumId w:val="16"/>
  </w:num>
  <w:num w:numId="18" w16cid:durableId="1634678336">
    <w:abstractNumId w:val="18"/>
  </w:num>
  <w:num w:numId="19" w16cid:durableId="9830439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695"/>
    <w:rsid w:val="000142E8"/>
    <w:rsid w:val="00031695"/>
    <w:rsid w:val="000404AA"/>
    <w:rsid w:val="000445FB"/>
    <w:rsid w:val="00055103"/>
    <w:rsid w:val="00057608"/>
    <w:rsid w:val="0006364D"/>
    <w:rsid w:val="00063D72"/>
    <w:rsid w:val="00074945"/>
    <w:rsid w:val="000765A8"/>
    <w:rsid w:val="00080E01"/>
    <w:rsid w:val="000826EA"/>
    <w:rsid w:val="00087397"/>
    <w:rsid w:val="00090E56"/>
    <w:rsid w:val="00097591"/>
    <w:rsid w:val="000B5BAD"/>
    <w:rsid w:val="000C50D6"/>
    <w:rsid w:val="000C600E"/>
    <w:rsid w:val="000C6964"/>
    <w:rsid w:val="000D64D4"/>
    <w:rsid w:val="000E2B54"/>
    <w:rsid w:val="00102D4E"/>
    <w:rsid w:val="00107F33"/>
    <w:rsid w:val="00110D19"/>
    <w:rsid w:val="0011105B"/>
    <w:rsid w:val="00112D14"/>
    <w:rsid w:val="00117412"/>
    <w:rsid w:val="001247FA"/>
    <w:rsid w:val="00126004"/>
    <w:rsid w:val="00140A4D"/>
    <w:rsid w:val="00142CD1"/>
    <w:rsid w:val="00146968"/>
    <w:rsid w:val="00151E12"/>
    <w:rsid w:val="00154D9A"/>
    <w:rsid w:val="00156573"/>
    <w:rsid w:val="00156F12"/>
    <w:rsid w:val="00164604"/>
    <w:rsid w:val="00164D10"/>
    <w:rsid w:val="001754D5"/>
    <w:rsid w:val="00181399"/>
    <w:rsid w:val="00184787"/>
    <w:rsid w:val="00190EF4"/>
    <w:rsid w:val="0019256B"/>
    <w:rsid w:val="00195D58"/>
    <w:rsid w:val="001A0542"/>
    <w:rsid w:val="001A357D"/>
    <w:rsid w:val="001A40A0"/>
    <w:rsid w:val="001A613F"/>
    <w:rsid w:val="001A758F"/>
    <w:rsid w:val="001B0431"/>
    <w:rsid w:val="001B5B15"/>
    <w:rsid w:val="001C066A"/>
    <w:rsid w:val="001C57A3"/>
    <w:rsid w:val="001E2CF9"/>
    <w:rsid w:val="001E4A10"/>
    <w:rsid w:val="001E5C67"/>
    <w:rsid w:val="002044BE"/>
    <w:rsid w:val="0021091C"/>
    <w:rsid w:val="00210BE2"/>
    <w:rsid w:val="00216C28"/>
    <w:rsid w:val="00241466"/>
    <w:rsid w:val="00243B29"/>
    <w:rsid w:val="002545BD"/>
    <w:rsid w:val="00266471"/>
    <w:rsid w:val="002722F7"/>
    <w:rsid w:val="00273989"/>
    <w:rsid w:val="00276336"/>
    <w:rsid w:val="002909BE"/>
    <w:rsid w:val="002932A0"/>
    <w:rsid w:val="002946AE"/>
    <w:rsid w:val="002A0405"/>
    <w:rsid w:val="002A3351"/>
    <w:rsid w:val="002A5D86"/>
    <w:rsid w:val="002B396E"/>
    <w:rsid w:val="002B4AB6"/>
    <w:rsid w:val="002B71B1"/>
    <w:rsid w:val="002C06B7"/>
    <w:rsid w:val="002C1094"/>
    <w:rsid w:val="002C5781"/>
    <w:rsid w:val="002D36A3"/>
    <w:rsid w:val="002E0E0A"/>
    <w:rsid w:val="002E12A8"/>
    <w:rsid w:val="002F263F"/>
    <w:rsid w:val="003059FE"/>
    <w:rsid w:val="00310222"/>
    <w:rsid w:val="00337680"/>
    <w:rsid w:val="00340B03"/>
    <w:rsid w:val="0034363E"/>
    <w:rsid w:val="00343F3C"/>
    <w:rsid w:val="00375146"/>
    <w:rsid w:val="00380273"/>
    <w:rsid w:val="003869AE"/>
    <w:rsid w:val="00391FD5"/>
    <w:rsid w:val="003A0BF7"/>
    <w:rsid w:val="003B3BC5"/>
    <w:rsid w:val="003C6F8D"/>
    <w:rsid w:val="003D0A24"/>
    <w:rsid w:val="003D1824"/>
    <w:rsid w:val="003F2D16"/>
    <w:rsid w:val="00402516"/>
    <w:rsid w:val="00430762"/>
    <w:rsid w:val="004344B2"/>
    <w:rsid w:val="00445519"/>
    <w:rsid w:val="00446DAF"/>
    <w:rsid w:val="00447C17"/>
    <w:rsid w:val="0045297E"/>
    <w:rsid w:val="00463A00"/>
    <w:rsid w:val="00463F87"/>
    <w:rsid w:val="004759FB"/>
    <w:rsid w:val="00483F5A"/>
    <w:rsid w:val="00484592"/>
    <w:rsid w:val="0048631B"/>
    <w:rsid w:val="0049221E"/>
    <w:rsid w:val="004A767F"/>
    <w:rsid w:val="004B0D01"/>
    <w:rsid w:val="004B4ECB"/>
    <w:rsid w:val="004B51BC"/>
    <w:rsid w:val="004D0E1E"/>
    <w:rsid w:val="004D1C37"/>
    <w:rsid w:val="004D322A"/>
    <w:rsid w:val="004D59C4"/>
    <w:rsid w:val="00524517"/>
    <w:rsid w:val="00527A8B"/>
    <w:rsid w:val="00527CEA"/>
    <w:rsid w:val="00531660"/>
    <w:rsid w:val="00531CEA"/>
    <w:rsid w:val="00532500"/>
    <w:rsid w:val="0053432C"/>
    <w:rsid w:val="00536734"/>
    <w:rsid w:val="00551DFD"/>
    <w:rsid w:val="005531AF"/>
    <w:rsid w:val="00565FB7"/>
    <w:rsid w:val="005733E9"/>
    <w:rsid w:val="005761AE"/>
    <w:rsid w:val="00584D31"/>
    <w:rsid w:val="005923CC"/>
    <w:rsid w:val="005976CC"/>
    <w:rsid w:val="0059793D"/>
    <w:rsid w:val="00597A16"/>
    <w:rsid w:val="005A2CE6"/>
    <w:rsid w:val="005A78C1"/>
    <w:rsid w:val="005B1BA8"/>
    <w:rsid w:val="005B1C55"/>
    <w:rsid w:val="005B5866"/>
    <w:rsid w:val="005B5C55"/>
    <w:rsid w:val="005C131D"/>
    <w:rsid w:val="005C1A23"/>
    <w:rsid w:val="005C4E6F"/>
    <w:rsid w:val="005D087B"/>
    <w:rsid w:val="005D2B37"/>
    <w:rsid w:val="005D3160"/>
    <w:rsid w:val="005D3298"/>
    <w:rsid w:val="005D3A7A"/>
    <w:rsid w:val="005E0505"/>
    <w:rsid w:val="005E1E48"/>
    <w:rsid w:val="005F71C1"/>
    <w:rsid w:val="00602197"/>
    <w:rsid w:val="006042E7"/>
    <w:rsid w:val="00607849"/>
    <w:rsid w:val="00613E9F"/>
    <w:rsid w:val="006151FF"/>
    <w:rsid w:val="00617ACF"/>
    <w:rsid w:val="00625538"/>
    <w:rsid w:val="00626BB7"/>
    <w:rsid w:val="00632C4E"/>
    <w:rsid w:val="00635A5E"/>
    <w:rsid w:val="00652B85"/>
    <w:rsid w:val="006611AC"/>
    <w:rsid w:val="006625C2"/>
    <w:rsid w:val="00662EF0"/>
    <w:rsid w:val="006A0E1C"/>
    <w:rsid w:val="006B263E"/>
    <w:rsid w:val="006C3206"/>
    <w:rsid w:val="006D0CB3"/>
    <w:rsid w:val="006F3767"/>
    <w:rsid w:val="006F6E1A"/>
    <w:rsid w:val="0070580E"/>
    <w:rsid w:val="00706F25"/>
    <w:rsid w:val="00711CBC"/>
    <w:rsid w:val="007166F3"/>
    <w:rsid w:val="007556CE"/>
    <w:rsid w:val="00770A20"/>
    <w:rsid w:val="00775B4F"/>
    <w:rsid w:val="00780D51"/>
    <w:rsid w:val="0078262D"/>
    <w:rsid w:val="007A18F2"/>
    <w:rsid w:val="007A54E7"/>
    <w:rsid w:val="007A63EC"/>
    <w:rsid w:val="007A6443"/>
    <w:rsid w:val="007A750F"/>
    <w:rsid w:val="007A7A1C"/>
    <w:rsid w:val="007B4226"/>
    <w:rsid w:val="007C1256"/>
    <w:rsid w:val="007D02DE"/>
    <w:rsid w:val="007D0958"/>
    <w:rsid w:val="007E0079"/>
    <w:rsid w:val="007E14ED"/>
    <w:rsid w:val="007E28DC"/>
    <w:rsid w:val="007E4338"/>
    <w:rsid w:val="007F2C61"/>
    <w:rsid w:val="00803B10"/>
    <w:rsid w:val="00811E24"/>
    <w:rsid w:val="008160E2"/>
    <w:rsid w:val="008355FB"/>
    <w:rsid w:val="00840D1F"/>
    <w:rsid w:val="00843D8F"/>
    <w:rsid w:val="00853A05"/>
    <w:rsid w:val="00854F06"/>
    <w:rsid w:val="008621C5"/>
    <w:rsid w:val="00867092"/>
    <w:rsid w:val="00867684"/>
    <w:rsid w:val="0087528D"/>
    <w:rsid w:val="00875E70"/>
    <w:rsid w:val="008A03CF"/>
    <w:rsid w:val="008A7608"/>
    <w:rsid w:val="008B03C9"/>
    <w:rsid w:val="008E33DF"/>
    <w:rsid w:val="008E70B5"/>
    <w:rsid w:val="008F22A6"/>
    <w:rsid w:val="008F55AA"/>
    <w:rsid w:val="008F5B2B"/>
    <w:rsid w:val="0090374C"/>
    <w:rsid w:val="0090674F"/>
    <w:rsid w:val="0091403C"/>
    <w:rsid w:val="009243B9"/>
    <w:rsid w:val="00924D3D"/>
    <w:rsid w:val="00933001"/>
    <w:rsid w:val="00951315"/>
    <w:rsid w:val="0095614B"/>
    <w:rsid w:val="00957401"/>
    <w:rsid w:val="00966DDB"/>
    <w:rsid w:val="00970C8D"/>
    <w:rsid w:val="00983D39"/>
    <w:rsid w:val="009867C9"/>
    <w:rsid w:val="009A109A"/>
    <w:rsid w:val="009B6E5F"/>
    <w:rsid w:val="009B7FB5"/>
    <w:rsid w:val="009C0157"/>
    <w:rsid w:val="009C25F2"/>
    <w:rsid w:val="009C61C8"/>
    <w:rsid w:val="009C655A"/>
    <w:rsid w:val="009E129E"/>
    <w:rsid w:val="009F4F0C"/>
    <w:rsid w:val="00A141C0"/>
    <w:rsid w:val="00A17B01"/>
    <w:rsid w:val="00A21DCC"/>
    <w:rsid w:val="00A24273"/>
    <w:rsid w:val="00A2635B"/>
    <w:rsid w:val="00A27606"/>
    <w:rsid w:val="00A372D7"/>
    <w:rsid w:val="00A57635"/>
    <w:rsid w:val="00A61C54"/>
    <w:rsid w:val="00A63590"/>
    <w:rsid w:val="00A72E86"/>
    <w:rsid w:val="00A77E74"/>
    <w:rsid w:val="00A809E9"/>
    <w:rsid w:val="00A82BB1"/>
    <w:rsid w:val="00A84D00"/>
    <w:rsid w:val="00A8666D"/>
    <w:rsid w:val="00A870C1"/>
    <w:rsid w:val="00A93BF6"/>
    <w:rsid w:val="00AA0713"/>
    <w:rsid w:val="00AB34C6"/>
    <w:rsid w:val="00AC4A6E"/>
    <w:rsid w:val="00AC4BF6"/>
    <w:rsid w:val="00AC5E5B"/>
    <w:rsid w:val="00AD011A"/>
    <w:rsid w:val="00AD6020"/>
    <w:rsid w:val="00AE7DE7"/>
    <w:rsid w:val="00AF0D47"/>
    <w:rsid w:val="00AF3FC7"/>
    <w:rsid w:val="00AF7CF8"/>
    <w:rsid w:val="00B007F9"/>
    <w:rsid w:val="00B05384"/>
    <w:rsid w:val="00B11E38"/>
    <w:rsid w:val="00B3328A"/>
    <w:rsid w:val="00B421B3"/>
    <w:rsid w:val="00B4722E"/>
    <w:rsid w:val="00B67DE3"/>
    <w:rsid w:val="00B83FBA"/>
    <w:rsid w:val="00B8694C"/>
    <w:rsid w:val="00BA1C24"/>
    <w:rsid w:val="00BA4FEE"/>
    <w:rsid w:val="00BB432F"/>
    <w:rsid w:val="00BD7F25"/>
    <w:rsid w:val="00BF1831"/>
    <w:rsid w:val="00BF20A7"/>
    <w:rsid w:val="00BF253C"/>
    <w:rsid w:val="00BF6A5D"/>
    <w:rsid w:val="00C0326F"/>
    <w:rsid w:val="00C32D78"/>
    <w:rsid w:val="00C404CA"/>
    <w:rsid w:val="00C514ED"/>
    <w:rsid w:val="00C52B04"/>
    <w:rsid w:val="00C537CB"/>
    <w:rsid w:val="00C60619"/>
    <w:rsid w:val="00C73E1A"/>
    <w:rsid w:val="00C747C5"/>
    <w:rsid w:val="00C7621E"/>
    <w:rsid w:val="00C96FB0"/>
    <w:rsid w:val="00CA6D2D"/>
    <w:rsid w:val="00CB6FC2"/>
    <w:rsid w:val="00CC40C9"/>
    <w:rsid w:val="00CC6F37"/>
    <w:rsid w:val="00CD0307"/>
    <w:rsid w:val="00CD5D74"/>
    <w:rsid w:val="00CE432E"/>
    <w:rsid w:val="00CE490B"/>
    <w:rsid w:val="00CE4A21"/>
    <w:rsid w:val="00D0626B"/>
    <w:rsid w:val="00D122EB"/>
    <w:rsid w:val="00D21C53"/>
    <w:rsid w:val="00D335AF"/>
    <w:rsid w:val="00D361F8"/>
    <w:rsid w:val="00D41681"/>
    <w:rsid w:val="00D4194E"/>
    <w:rsid w:val="00D55620"/>
    <w:rsid w:val="00D6493C"/>
    <w:rsid w:val="00D66A64"/>
    <w:rsid w:val="00D82B22"/>
    <w:rsid w:val="00DA3E8A"/>
    <w:rsid w:val="00DB606F"/>
    <w:rsid w:val="00DC726C"/>
    <w:rsid w:val="00DD7EA5"/>
    <w:rsid w:val="00DE030A"/>
    <w:rsid w:val="00DF0C17"/>
    <w:rsid w:val="00DF21DA"/>
    <w:rsid w:val="00DF2BA3"/>
    <w:rsid w:val="00E01659"/>
    <w:rsid w:val="00E13FFF"/>
    <w:rsid w:val="00E14548"/>
    <w:rsid w:val="00E15EC0"/>
    <w:rsid w:val="00E160DD"/>
    <w:rsid w:val="00E2139C"/>
    <w:rsid w:val="00E34CD3"/>
    <w:rsid w:val="00E3543B"/>
    <w:rsid w:val="00E42340"/>
    <w:rsid w:val="00E4607B"/>
    <w:rsid w:val="00E46E55"/>
    <w:rsid w:val="00E5080B"/>
    <w:rsid w:val="00E5721D"/>
    <w:rsid w:val="00E612C6"/>
    <w:rsid w:val="00E84056"/>
    <w:rsid w:val="00E87467"/>
    <w:rsid w:val="00E92851"/>
    <w:rsid w:val="00E93A53"/>
    <w:rsid w:val="00EC3942"/>
    <w:rsid w:val="00EE080B"/>
    <w:rsid w:val="00EE7FAA"/>
    <w:rsid w:val="00EF4D50"/>
    <w:rsid w:val="00F12C6F"/>
    <w:rsid w:val="00F37355"/>
    <w:rsid w:val="00F40937"/>
    <w:rsid w:val="00F40F06"/>
    <w:rsid w:val="00F52848"/>
    <w:rsid w:val="00F56CC2"/>
    <w:rsid w:val="00F6347A"/>
    <w:rsid w:val="00F65547"/>
    <w:rsid w:val="00F6713F"/>
    <w:rsid w:val="00F8477E"/>
    <w:rsid w:val="00F87ECC"/>
    <w:rsid w:val="00F96AFE"/>
    <w:rsid w:val="00F9770C"/>
    <w:rsid w:val="00FA1EC4"/>
    <w:rsid w:val="00FA40D0"/>
    <w:rsid w:val="00FB187C"/>
    <w:rsid w:val="00FB4318"/>
    <w:rsid w:val="00FC29D3"/>
    <w:rsid w:val="00FD733A"/>
    <w:rsid w:val="00FF7B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9B767"/>
  <w15:chartTrackingRefBased/>
  <w15:docId w15:val="{1760E342-AC0C-4F89-93AB-5CEC74C8D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31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031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3169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3169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3169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3169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3169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3169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3169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3169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03169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3169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3169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3169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3169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3169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3169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3169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31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3169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3169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3169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3169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31695"/>
    <w:rPr>
      <w:i/>
      <w:iCs/>
      <w:color w:val="404040" w:themeColor="text1" w:themeTint="BF"/>
    </w:rPr>
  </w:style>
  <w:style w:type="paragraph" w:styleId="Paragrafoelenco">
    <w:name w:val="List Paragraph"/>
    <w:basedOn w:val="Normale"/>
    <w:uiPriority w:val="34"/>
    <w:qFormat/>
    <w:rsid w:val="00031695"/>
    <w:pPr>
      <w:ind w:left="720"/>
      <w:contextualSpacing/>
    </w:pPr>
  </w:style>
  <w:style w:type="character" w:styleId="Enfasiintensa">
    <w:name w:val="Intense Emphasis"/>
    <w:basedOn w:val="Carpredefinitoparagrafo"/>
    <w:uiPriority w:val="21"/>
    <w:qFormat/>
    <w:rsid w:val="00031695"/>
    <w:rPr>
      <w:i/>
      <w:iCs/>
      <w:color w:val="0F4761" w:themeColor="accent1" w:themeShade="BF"/>
    </w:rPr>
  </w:style>
  <w:style w:type="paragraph" w:styleId="Citazioneintensa">
    <w:name w:val="Intense Quote"/>
    <w:basedOn w:val="Normale"/>
    <w:next w:val="Normale"/>
    <w:link w:val="CitazioneintensaCarattere"/>
    <w:uiPriority w:val="30"/>
    <w:qFormat/>
    <w:rsid w:val="00031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31695"/>
    <w:rPr>
      <w:i/>
      <w:iCs/>
      <w:color w:val="0F4761" w:themeColor="accent1" w:themeShade="BF"/>
    </w:rPr>
  </w:style>
  <w:style w:type="character" w:styleId="Riferimentointenso">
    <w:name w:val="Intense Reference"/>
    <w:basedOn w:val="Carpredefinitoparagrafo"/>
    <w:uiPriority w:val="32"/>
    <w:qFormat/>
    <w:rsid w:val="00031695"/>
    <w:rPr>
      <w:b/>
      <w:bCs/>
      <w:smallCaps/>
      <w:color w:val="0F4761" w:themeColor="accent1" w:themeShade="BF"/>
      <w:spacing w:val="5"/>
    </w:rPr>
  </w:style>
  <w:style w:type="paragraph" w:styleId="Nessunaspaziatura">
    <w:name w:val="No Spacing"/>
    <w:link w:val="NessunaspaziaturaCarattere"/>
    <w:uiPriority w:val="1"/>
    <w:qFormat/>
    <w:rsid w:val="001C57A3"/>
    <w:pPr>
      <w:spacing w:after="0" w:line="240" w:lineRule="auto"/>
    </w:pPr>
    <w:rPr>
      <w:rFonts w:eastAsiaTheme="minorEastAsia"/>
      <w:kern w:val="0"/>
      <w:sz w:val="22"/>
      <w:szCs w:val="22"/>
      <w:lang w:eastAsia="it-IT"/>
      <w14:ligatures w14:val="none"/>
    </w:rPr>
  </w:style>
  <w:style w:type="character" w:customStyle="1" w:styleId="NessunaspaziaturaCarattere">
    <w:name w:val="Nessuna spaziatura Carattere"/>
    <w:basedOn w:val="Carpredefinitoparagrafo"/>
    <w:link w:val="Nessunaspaziatura"/>
    <w:uiPriority w:val="1"/>
    <w:rsid w:val="001C57A3"/>
    <w:rPr>
      <w:rFonts w:eastAsiaTheme="minorEastAsia"/>
      <w:kern w:val="0"/>
      <w:sz w:val="22"/>
      <w:szCs w:val="22"/>
      <w:lang w:eastAsia="it-IT"/>
      <w14:ligatures w14:val="none"/>
    </w:rPr>
  </w:style>
  <w:style w:type="paragraph" w:styleId="Intestazione">
    <w:name w:val="header"/>
    <w:basedOn w:val="Normale"/>
    <w:link w:val="IntestazioneCarattere"/>
    <w:uiPriority w:val="99"/>
    <w:unhideWhenUsed/>
    <w:rsid w:val="00A5763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57635"/>
  </w:style>
  <w:style w:type="paragraph" w:styleId="Pidipagina">
    <w:name w:val="footer"/>
    <w:basedOn w:val="Normale"/>
    <w:link w:val="PidipaginaCarattere"/>
    <w:uiPriority w:val="99"/>
    <w:unhideWhenUsed/>
    <w:rsid w:val="00A5763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57635"/>
  </w:style>
  <w:style w:type="paragraph" w:styleId="Testonotaapidipagina">
    <w:name w:val="footnote text"/>
    <w:basedOn w:val="Normale"/>
    <w:link w:val="TestonotaapidipaginaCarattere"/>
    <w:uiPriority w:val="99"/>
    <w:semiHidden/>
    <w:unhideWhenUsed/>
    <w:rsid w:val="00BA1C24"/>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BA1C24"/>
    <w:rPr>
      <w:sz w:val="20"/>
      <w:szCs w:val="20"/>
    </w:rPr>
  </w:style>
  <w:style w:type="character" w:styleId="Rimandonotaapidipagina">
    <w:name w:val="footnote reference"/>
    <w:basedOn w:val="Carpredefinitoparagrafo"/>
    <w:uiPriority w:val="99"/>
    <w:semiHidden/>
    <w:unhideWhenUsed/>
    <w:rsid w:val="00BA1C24"/>
    <w:rPr>
      <w:vertAlign w:val="superscript"/>
    </w:rPr>
  </w:style>
  <w:style w:type="character" w:styleId="Collegamentoipertestuale">
    <w:name w:val="Hyperlink"/>
    <w:basedOn w:val="Carpredefinitoparagrafo"/>
    <w:uiPriority w:val="99"/>
    <w:unhideWhenUsed/>
    <w:rsid w:val="00867092"/>
    <w:rPr>
      <w:color w:val="467886" w:themeColor="hyperlink"/>
      <w:u w:val="single"/>
    </w:rPr>
  </w:style>
  <w:style w:type="character" w:styleId="Menzionenonrisolta">
    <w:name w:val="Unresolved Mention"/>
    <w:basedOn w:val="Carpredefinitoparagrafo"/>
    <w:uiPriority w:val="99"/>
    <w:semiHidden/>
    <w:unhideWhenUsed/>
    <w:rsid w:val="00867092"/>
    <w:rPr>
      <w:color w:val="605E5C"/>
      <w:shd w:val="clear" w:color="auto" w:fill="E1DFDD"/>
    </w:rPr>
  </w:style>
  <w:style w:type="paragraph" w:customStyle="1" w:styleId="FirstParagraph">
    <w:name w:val="First Paragraph"/>
    <w:basedOn w:val="Corpotesto"/>
    <w:next w:val="Corpotesto"/>
    <w:qFormat/>
    <w:rsid w:val="00E34CD3"/>
    <w:pPr>
      <w:spacing w:before="180" w:after="180" w:line="240" w:lineRule="auto"/>
    </w:pPr>
    <w:rPr>
      <w:kern w:val="0"/>
      <w:lang w:val="en-US"/>
      <w14:ligatures w14:val="none"/>
    </w:rPr>
  </w:style>
  <w:style w:type="paragraph" w:styleId="Corpotesto">
    <w:name w:val="Body Text"/>
    <w:basedOn w:val="Normale"/>
    <w:link w:val="CorpotestoCarattere"/>
    <w:uiPriority w:val="99"/>
    <w:unhideWhenUsed/>
    <w:rsid w:val="00E34CD3"/>
    <w:pPr>
      <w:spacing w:after="120"/>
    </w:pPr>
  </w:style>
  <w:style w:type="character" w:customStyle="1" w:styleId="CorpotestoCarattere">
    <w:name w:val="Corpo testo Carattere"/>
    <w:basedOn w:val="Carpredefinitoparagrafo"/>
    <w:link w:val="Corpotesto"/>
    <w:uiPriority w:val="99"/>
    <w:rsid w:val="00E34CD3"/>
  </w:style>
  <w:style w:type="character" w:customStyle="1" w:styleId="VerbatimChar">
    <w:name w:val="Verbatim Char"/>
    <w:basedOn w:val="Carpredefinitoparagrafo"/>
    <w:link w:val="SourceCode"/>
    <w:rsid w:val="00CC40C9"/>
    <w:rPr>
      <w:rFonts w:ascii="Consolas" w:hAnsi="Consolas"/>
      <w:sz w:val="22"/>
    </w:rPr>
  </w:style>
  <w:style w:type="paragraph" w:customStyle="1" w:styleId="SourceCode">
    <w:name w:val="Source Code"/>
    <w:basedOn w:val="Normale"/>
    <w:link w:val="VerbatimChar"/>
    <w:rsid w:val="00CC40C9"/>
    <w:pPr>
      <w:wordWrap w:val="0"/>
      <w:spacing w:after="200" w:line="240" w:lineRule="auto"/>
    </w:pPr>
    <w:rPr>
      <w:rFonts w:ascii="Consolas" w:hAnsi="Consolas"/>
      <w:sz w:val="22"/>
    </w:rPr>
  </w:style>
  <w:style w:type="table" w:styleId="Grigliatabella">
    <w:name w:val="Table Grid"/>
    <w:basedOn w:val="Tabellanormale"/>
    <w:uiPriority w:val="39"/>
    <w:rsid w:val="00775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delblocco">
    <w:name w:val="Block Text"/>
    <w:basedOn w:val="Corpotesto"/>
    <w:next w:val="Corpotesto"/>
    <w:uiPriority w:val="9"/>
    <w:unhideWhenUsed/>
    <w:qFormat/>
    <w:rsid w:val="00A77E74"/>
    <w:pPr>
      <w:spacing w:before="100" w:after="100" w:line="240" w:lineRule="auto"/>
      <w:ind w:left="480" w:right="480"/>
    </w:pPr>
    <w:rPr>
      <w:kern w:val="0"/>
      <w:lang w:val="en-US"/>
      <w14:ligatures w14:val="none"/>
    </w:rPr>
  </w:style>
  <w:style w:type="paragraph" w:customStyle="1" w:styleId="Compact">
    <w:name w:val="Compact"/>
    <w:basedOn w:val="Corpotesto"/>
    <w:qFormat/>
    <w:rsid w:val="00AF3FC7"/>
    <w:pPr>
      <w:spacing w:before="36" w:after="36"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lab4in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5E2F1B-FE69-4B13-9C64-224910894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777</TotalTime>
  <Pages>7</Pages>
  <Words>1599</Words>
  <Characters>9116</Characters>
  <Application>Microsoft Office Word</Application>
  <DocSecurity>0</DocSecurity>
  <Lines>75</Lines>
  <Paragraphs>21</Paragraphs>
  <ScaleCrop>false</ScaleCrop>
  <HeadingPairs>
    <vt:vector size="2" baseType="variant">
      <vt:variant>
        <vt:lpstr>Titolo</vt:lpstr>
      </vt:variant>
      <vt:variant>
        <vt:i4>1</vt:i4>
      </vt:variant>
    </vt:vector>
  </HeadingPairs>
  <TitlesOfParts>
    <vt:vector size="1" baseType="lpstr">
      <vt:lpstr>Dalla guerra cognitiva alla contro-OSINT</vt:lpstr>
    </vt:vector>
  </TitlesOfParts>
  <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Dalla guerra cognitiva alla contro-OSINT</dc:title>
  <dc:creator>Giovanni Conio</dc:creator>
  <dc:description/>
  <cp:lastModifiedBy>Giovanni Conio</cp:lastModifiedBy>
  <cp:revision>337</cp:revision>
  <cp:lastPrinted>2026-08-21T04:59:00Z</cp:lastPrinted>
  <dcterms:created xsi:type="dcterms:W3CDTF">2026-05-29T12:18:00Z</dcterms:created>
  <dcterms:modified xsi:type="dcterms:W3CDTF">2026-08-21T05:00:00Z</dcterms:modified>
</cp:coreProperties>
</file>