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8EB5" w14:textId="4838A632" w:rsidR="00742AA4" w:rsidRDefault="00380C93" w:rsidP="001F4A37">
      <w:pPr>
        <w:jc w:val="center"/>
        <w:rPr>
          <w:rStyle w:val="Strong"/>
          <w:lang w:val="en-US"/>
        </w:rPr>
      </w:pPr>
      <w:r w:rsidRPr="00380C93">
        <w:rPr>
          <w:rStyle w:val="Strong"/>
          <w:rFonts w:asciiTheme="majorHAnsi" w:eastAsiaTheme="majorEastAsia" w:hAnsiTheme="majorHAnsi" w:cstheme="majorBidi"/>
          <w:caps/>
          <w:color w:val="1CADE4" w:themeColor="accent1"/>
          <w:spacing w:val="10"/>
          <w:sz w:val="44"/>
          <w:szCs w:val="44"/>
          <w:lang w:val="en-US"/>
        </w:rPr>
        <w:t>Statistical Worksheet Submissions</w:t>
      </w:r>
    </w:p>
    <w:p w14:paraId="150386FC" w14:textId="7084A011" w:rsidR="001F4A37" w:rsidRDefault="001F4A37" w:rsidP="001F4A37">
      <w:pPr>
        <w:jc w:val="center"/>
        <w:rPr>
          <w:rStyle w:val="Strong"/>
          <w:lang w:val="en-US"/>
        </w:rPr>
      </w:pPr>
      <w:r>
        <w:rPr>
          <w:rStyle w:val="Strong"/>
          <w:lang w:val="en-US"/>
        </w:rPr>
        <w:t>University of Essex</w:t>
      </w:r>
    </w:p>
    <w:p w14:paraId="03838DE7" w14:textId="77777777" w:rsidR="001F4A37" w:rsidRDefault="001F4A37" w:rsidP="001F4A37">
      <w:pPr>
        <w:jc w:val="center"/>
        <w:rPr>
          <w:rStyle w:val="Strong"/>
          <w:lang w:val="en-US"/>
        </w:rPr>
      </w:pPr>
      <w:r>
        <w:rPr>
          <w:rStyle w:val="Strong"/>
          <w:lang w:val="en-US"/>
        </w:rPr>
        <w:t>Gennaro Coppola</w:t>
      </w:r>
    </w:p>
    <w:p w14:paraId="02C2A045" w14:textId="404CA70D" w:rsidR="00E003C7" w:rsidRDefault="00380C93" w:rsidP="001F4A37">
      <w:pPr>
        <w:jc w:val="center"/>
        <w:rPr>
          <w:rStyle w:val="BookTitle"/>
          <w:lang w:val="en-US"/>
        </w:rPr>
      </w:pPr>
      <w:r w:rsidRPr="00380C93">
        <w:rPr>
          <w:rStyle w:val="BookTitle"/>
          <w:lang w:val="en-US"/>
        </w:rPr>
        <w:t>Statistical Worksheet Submissions</w:t>
      </w:r>
    </w:p>
    <w:p w14:paraId="57B18439" w14:textId="502A6B21" w:rsidR="00380C93" w:rsidRDefault="00380C93" w:rsidP="001F4A37">
      <w:pPr>
        <w:jc w:val="center"/>
        <w:rPr>
          <w:rStyle w:val="BookTitle"/>
          <w:lang w:val="en-US"/>
        </w:rPr>
      </w:pPr>
    </w:p>
    <w:p w14:paraId="065CA476" w14:textId="5ECE4E7A" w:rsidR="00380C93" w:rsidRDefault="00380C93" w:rsidP="00380C93">
      <w:pPr>
        <w:pStyle w:val="Heading1"/>
        <w:rPr>
          <w:rStyle w:val="BookTitle"/>
          <w:b w:val="0"/>
          <w:bCs w:val="0"/>
          <w:i w:val="0"/>
          <w:iCs w:val="0"/>
          <w:lang w:val="en-US"/>
        </w:rPr>
      </w:pPr>
      <w:r>
        <w:rPr>
          <w:rStyle w:val="BookTitle"/>
          <w:b w:val="0"/>
          <w:bCs w:val="0"/>
          <w:i w:val="0"/>
          <w:iCs w:val="0"/>
          <w:lang w:val="en-US"/>
        </w:rPr>
        <w:t xml:space="preserve">Unit 8: </w:t>
      </w:r>
      <w:r w:rsidR="002C701F">
        <w:rPr>
          <w:rStyle w:val="BookTitle"/>
          <w:b w:val="0"/>
          <w:bCs w:val="0"/>
          <w:i w:val="0"/>
          <w:iCs w:val="0"/>
          <w:lang w:val="en-US"/>
        </w:rPr>
        <w:t>Statistical inference</w:t>
      </w:r>
    </w:p>
    <w:p w14:paraId="2BA58918" w14:textId="78952277" w:rsidR="002C701F" w:rsidRDefault="00B9006A" w:rsidP="00B9006A">
      <w:pPr>
        <w:pStyle w:val="Heading3"/>
        <w:rPr>
          <w:lang w:val="en-US"/>
        </w:rPr>
      </w:pPr>
      <w:r>
        <w:rPr>
          <w:lang w:val="en-US"/>
        </w:rPr>
        <w:t>Exercise 1</w:t>
      </w:r>
    </w:p>
    <w:p w14:paraId="0C582ADE" w14:textId="77777777" w:rsidR="0049248D" w:rsidRPr="0049248D" w:rsidRDefault="0049248D" w:rsidP="0049248D">
      <w:pPr>
        <w:rPr>
          <w:lang w:val="en-US"/>
        </w:rPr>
      </w:pP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160"/>
      </w:tblGrid>
      <w:tr w:rsidR="0049248D" w:rsidRPr="0049248D" w14:paraId="58A5B19C" w14:textId="77777777" w:rsidTr="0049248D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A0FA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49248D">
              <w:rPr>
                <w:rFonts w:ascii="Arial" w:eastAsia="Times New Roman" w:hAnsi="Arial" w:cs="Arial"/>
                <w:b/>
                <w:bCs/>
                <w:lang w:eastAsia="it-IT"/>
              </w:rPr>
              <w:t>Diet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4A99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49248D">
              <w:rPr>
                <w:rFonts w:ascii="Arial" w:eastAsia="Times New Roman" w:hAnsi="Arial" w:cs="Arial"/>
                <w:b/>
                <w:bCs/>
                <w:lang w:eastAsia="it-IT"/>
              </w:rPr>
              <w:t>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96C4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49248D">
              <w:rPr>
                <w:rFonts w:ascii="Arial" w:eastAsia="Times New Roman" w:hAnsi="Arial" w:cs="Arial"/>
                <w:lang w:eastAsia="it-IT"/>
              </w:rPr>
              <w:t>50</w:t>
            </w:r>
          </w:p>
        </w:tc>
      </w:tr>
      <w:tr w:rsidR="0049248D" w:rsidRPr="0049248D" w14:paraId="0373F87C" w14:textId="77777777" w:rsidTr="00492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8C0B" w14:textId="77777777" w:rsidR="0049248D" w:rsidRPr="0049248D" w:rsidRDefault="0049248D" w:rsidP="0049248D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49248D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6666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49248D">
              <w:rPr>
                <w:rFonts w:ascii="Arial" w:eastAsia="Times New Roman" w:hAnsi="Arial" w:cs="Arial"/>
                <w:b/>
                <w:bCs/>
                <w:lang w:eastAsia="it-IT"/>
              </w:rPr>
              <w:t>Mean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402E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49248D">
              <w:rPr>
                <w:rFonts w:ascii="Arial" w:eastAsia="Times New Roman" w:hAnsi="Arial" w:cs="Arial"/>
                <w:lang w:eastAsia="it-IT"/>
              </w:rPr>
              <w:t>3.710</w:t>
            </w:r>
          </w:p>
        </w:tc>
      </w:tr>
      <w:tr w:rsidR="0049248D" w:rsidRPr="0049248D" w14:paraId="54ADB5FF" w14:textId="77777777" w:rsidTr="0049248D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35F" w14:textId="77777777" w:rsidR="0049248D" w:rsidRPr="0049248D" w:rsidRDefault="0049248D" w:rsidP="0049248D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49248D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1016F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49248D">
              <w:rPr>
                <w:rFonts w:ascii="Arial" w:eastAsia="Times New Roman" w:hAnsi="Arial" w:cs="Arial"/>
                <w:b/>
                <w:bCs/>
                <w:lang w:eastAsia="it-IT"/>
              </w:rPr>
              <w:t>SD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FBEE" w14:textId="77777777" w:rsidR="0049248D" w:rsidRPr="0049248D" w:rsidRDefault="0049248D" w:rsidP="0049248D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49248D">
              <w:rPr>
                <w:rFonts w:ascii="Arial" w:eastAsia="Times New Roman" w:hAnsi="Arial" w:cs="Arial"/>
                <w:lang w:eastAsia="it-IT"/>
              </w:rPr>
              <w:t>2.769</w:t>
            </w:r>
          </w:p>
        </w:tc>
      </w:tr>
    </w:tbl>
    <w:p w14:paraId="081F7FDA" w14:textId="33910D0E" w:rsidR="00B9006A" w:rsidRDefault="00B9006A" w:rsidP="00B9006A">
      <w:pPr>
        <w:rPr>
          <w:lang w:val="en-US"/>
        </w:rPr>
      </w:pPr>
    </w:p>
    <w:p w14:paraId="5EAE9705" w14:textId="00DF4D2D" w:rsidR="00B61538" w:rsidRDefault="00B61538" w:rsidP="00B61538">
      <w:pPr>
        <w:pStyle w:val="Heading3"/>
        <w:rPr>
          <w:lang w:val="en-US"/>
        </w:rPr>
      </w:pPr>
      <w:r>
        <w:rPr>
          <w:lang w:val="en-US"/>
        </w:rPr>
        <w:t>Exercise 2</w:t>
      </w:r>
    </w:p>
    <w:p w14:paraId="11A066DB" w14:textId="77777777" w:rsidR="00B61538" w:rsidRPr="00B61538" w:rsidRDefault="00B61538" w:rsidP="00B61538">
      <w:pPr>
        <w:rPr>
          <w:lang w:val="en-US"/>
        </w:rPr>
      </w:pP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B61538" w:rsidRPr="00B61538" w14:paraId="63D1D1F2" w14:textId="77777777" w:rsidTr="00B61538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21E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Diet 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745C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FAE62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50</w:t>
            </w:r>
          </w:p>
        </w:tc>
      </w:tr>
      <w:tr w:rsidR="00B61538" w:rsidRPr="00B61538" w14:paraId="2667DD19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23C8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97498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A2E3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3.710</w:t>
            </w:r>
          </w:p>
        </w:tc>
      </w:tr>
      <w:tr w:rsidR="00B61538" w:rsidRPr="00B61538" w14:paraId="4C3FDFDD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9C84B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5D8A3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4B490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2.769</w:t>
            </w:r>
          </w:p>
        </w:tc>
      </w:tr>
      <w:tr w:rsidR="00B61538" w:rsidRPr="00B61538" w14:paraId="4B568610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BFC2C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0A7D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2379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3.745</w:t>
            </w:r>
          </w:p>
        </w:tc>
      </w:tr>
      <w:tr w:rsidR="00B61538" w:rsidRPr="00B61538" w14:paraId="6E761BF4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1FAFD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9A52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Q1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B1088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1.953</w:t>
            </w:r>
          </w:p>
        </w:tc>
      </w:tr>
      <w:tr w:rsidR="00B61538" w:rsidRPr="00B61538" w14:paraId="70FBDB4E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B44B8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2208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Q3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68EB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5.404</w:t>
            </w:r>
          </w:p>
        </w:tc>
      </w:tr>
      <w:tr w:rsidR="00B61538" w:rsidRPr="00B61538" w14:paraId="1A39BFE6" w14:textId="77777777" w:rsidTr="00B61538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93AAC" w14:textId="77777777" w:rsidR="00B61538" w:rsidRPr="00B61538" w:rsidRDefault="00B61538" w:rsidP="00B6153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C8B5D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B61538">
              <w:rPr>
                <w:rFonts w:ascii="Arial" w:eastAsia="Times New Roman" w:hAnsi="Arial" w:cs="Arial"/>
                <w:b/>
                <w:bCs/>
                <w:lang w:eastAsia="it-IT"/>
              </w:rPr>
              <w:t>IQR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2F13" w14:textId="77777777" w:rsidR="00B61538" w:rsidRPr="00B61538" w:rsidRDefault="00B61538" w:rsidP="00B6153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B61538">
              <w:rPr>
                <w:rFonts w:ascii="Arial" w:eastAsia="Times New Roman" w:hAnsi="Arial" w:cs="Arial"/>
                <w:lang w:eastAsia="it-IT"/>
              </w:rPr>
              <w:t>3.451</w:t>
            </w:r>
          </w:p>
        </w:tc>
      </w:tr>
    </w:tbl>
    <w:p w14:paraId="59FD1B76" w14:textId="5196992E" w:rsidR="00B61538" w:rsidRDefault="00B61538" w:rsidP="00B9006A">
      <w:pPr>
        <w:rPr>
          <w:lang w:val="en-US"/>
        </w:rPr>
      </w:pPr>
    </w:p>
    <w:p w14:paraId="2517FC27" w14:textId="109DE872" w:rsidR="00B61538" w:rsidRPr="00B61538" w:rsidRDefault="00B61538" w:rsidP="00B61538">
      <w:pPr>
        <w:spacing w:before="0" w:after="0" w:line="240" w:lineRule="auto"/>
        <w:rPr>
          <w:rFonts w:ascii="Arial" w:eastAsia="Times New Roman" w:hAnsi="Arial" w:cs="Arial"/>
          <w:lang w:val="en-US" w:eastAsia="it-IT"/>
        </w:rPr>
      </w:pPr>
      <w:r w:rsidRPr="00B61538">
        <w:rPr>
          <w:rFonts w:ascii="Arial" w:eastAsia="Times New Roman" w:hAnsi="Arial" w:cs="Arial"/>
          <w:lang w:val="en-US" w:eastAsia="it-IT"/>
        </w:rPr>
        <w:t>Both diets resulted in weight losses for the patients. However</w:t>
      </w:r>
      <w:r>
        <w:rPr>
          <w:rFonts w:ascii="Arial" w:eastAsia="Times New Roman" w:hAnsi="Arial" w:cs="Arial"/>
          <w:lang w:val="en-US" w:eastAsia="it-IT"/>
        </w:rPr>
        <w:t>,</w:t>
      </w:r>
      <w:r w:rsidRPr="00B61538">
        <w:rPr>
          <w:rFonts w:ascii="Arial" w:eastAsia="Times New Roman" w:hAnsi="Arial" w:cs="Arial"/>
          <w:lang w:val="en-US" w:eastAsia="it-IT"/>
        </w:rPr>
        <w:t xml:space="preserve"> Diet A has been more effective, we can determine this by the standard deviation being lower, and the mean being higher. Moreover, the 25th percentile of Diet A lost as much as the Mean of Diet B. This is a very significant difference to take into consideration.</w:t>
      </w:r>
    </w:p>
    <w:p w14:paraId="197F52D7" w14:textId="3560D844" w:rsidR="00B61538" w:rsidRDefault="00B61538" w:rsidP="00B9006A">
      <w:pPr>
        <w:rPr>
          <w:lang w:val="en-US"/>
        </w:rPr>
      </w:pPr>
    </w:p>
    <w:p w14:paraId="5F557368" w14:textId="6C393A4A" w:rsidR="00084C76" w:rsidRDefault="00084C76" w:rsidP="00B9006A">
      <w:pPr>
        <w:rPr>
          <w:lang w:val="en-US"/>
        </w:rPr>
      </w:pPr>
    </w:p>
    <w:p w14:paraId="6A7E1D18" w14:textId="032F176F" w:rsidR="00084C76" w:rsidRDefault="00084C76" w:rsidP="00B9006A">
      <w:pPr>
        <w:rPr>
          <w:lang w:val="en-US"/>
        </w:rPr>
      </w:pPr>
    </w:p>
    <w:p w14:paraId="40A2BE83" w14:textId="3E73827B" w:rsidR="00084C76" w:rsidRDefault="00084C76" w:rsidP="00B9006A">
      <w:pPr>
        <w:rPr>
          <w:lang w:val="en-US"/>
        </w:rPr>
      </w:pPr>
    </w:p>
    <w:p w14:paraId="70617FD3" w14:textId="6771A501" w:rsidR="00084C76" w:rsidRDefault="00084C76" w:rsidP="00B9006A">
      <w:pPr>
        <w:rPr>
          <w:lang w:val="en-US"/>
        </w:rPr>
      </w:pPr>
    </w:p>
    <w:p w14:paraId="0DD4122D" w14:textId="1BC9F0A9" w:rsidR="00084C76" w:rsidRDefault="00084C76" w:rsidP="00B9006A">
      <w:pPr>
        <w:rPr>
          <w:lang w:val="en-US"/>
        </w:rPr>
      </w:pPr>
    </w:p>
    <w:p w14:paraId="2D225298" w14:textId="77777777" w:rsidR="00084C76" w:rsidRDefault="00084C76" w:rsidP="00B9006A">
      <w:pPr>
        <w:rPr>
          <w:lang w:val="en-US"/>
        </w:rPr>
      </w:pPr>
    </w:p>
    <w:p w14:paraId="320FF343" w14:textId="273681A6" w:rsidR="00DC0B4B" w:rsidRDefault="00DC0B4B" w:rsidP="00DC0B4B">
      <w:pPr>
        <w:pStyle w:val="Heading3"/>
        <w:rPr>
          <w:lang w:val="en-US"/>
        </w:rPr>
      </w:pPr>
      <w:r>
        <w:rPr>
          <w:lang w:val="en-US"/>
        </w:rPr>
        <w:lastRenderedPageBreak/>
        <w:t>Exercise 3</w:t>
      </w:r>
    </w:p>
    <w:p w14:paraId="711876EC" w14:textId="01F6A4AF" w:rsidR="00DC0B4B" w:rsidRDefault="00DC0B4B" w:rsidP="00DC0B4B">
      <w:pPr>
        <w:rPr>
          <w:lang w:val="en-US"/>
        </w:rPr>
      </w:pPr>
    </w:p>
    <w:p w14:paraId="6E18750F" w14:textId="53D51379" w:rsidR="00084C76" w:rsidRDefault="00084C76" w:rsidP="00DC0B4B">
      <w:pPr>
        <w:rPr>
          <w:lang w:val="en-US"/>
        </w:rPr>
      </w:pPr>
      <w:r>
        <w:rPr>
          <w:lang w:val="en-US"/>
        </w:rPr>
        <w:t>Frequencies and percentages of Product A, Product B and Others</w:t>
      </w:r>
    </w:p>
    <w:tbl>
      <w:tblPr>
        <w:tblW w:w="3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8"/>
        <w:gridCol w:w="1022"/>
        <w:gridCol w:w="1160"/>
      </w:tblGrid>
      <w:tr w:rsidR="00084C76" w:rsidRPr="00084C76" w14:paraId="31F55A55" w14:textId="77777777" w:rsidTr="00084C76">
        <w:trPr>
          <w:trHeight w:val="264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1844" w14:textId="68B0D98E" w:rsidR="00084C76" w:rsidRPr="00084C76" w:rsidRDefault="00084C76" w:rsidP="00084C7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Frequencies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EB02" w14:textId="77777777" w:rsidR="00084C76" w:rsidRPr="00084C76" w:rsidRDefault="00084C76" w:rsidP="00084C7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</w:p>
        </w:tc>
      </w:tr>
      <w:tr w:rsidR="00084C76" w:rsidRPr="00084C76" w14:paraId="549E452A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747F8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CDCF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5A70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084C76" w:rsidRPr="00084C76" w14:paraId="172D2B45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4B3A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2CA4A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Area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20AC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Area 2</w:t>
            </w:r>
          </w:p>
        </w:tc>
      </w:tr>
      <w:tr w:rsidR="00084C76" w:rsidRPr="00084C76" w14:paraId="767AD0C5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1C62A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19C5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4C3E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19</w:t>
            </w:r>
          </w:p>
        </w:tc>
      </w:tr>
      <w:tr w:rsidR="00084C76" w:rsidRPr="00084C76" w14:paraId="41BFEBC7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1C36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2D31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8804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30</w:t>
            </w:r>
          </w:p>
        </w:tc>
      </w:tr>
      <w:tr w:rsidR="00084C76" w:rsidRPr="00084C76" w14:paraId="4B9CA920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018A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Other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F993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42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72B8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41</w:t>
            </w:r>
          </w:p>
        </w:tc>
      </w:tr>
      <w:tr w:rsidR="00084C76" w:rsidRPr="00084C76" w14:paraId="4D207C38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17E0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Total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D1C1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70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A9BD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90</w:t>
            </w:r>
          </w:p>
        </w:tc>
      </w:tr>
      <w:tr w:rsidR="00084C76" w:rsidRPr="00084C76" w14:paraId="48098B46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1E6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D16D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31998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084C76" w:rsidRPr="00084C76" w14:paraId="41219A3F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D8F8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215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9E1D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084C76" w:rsidRPr="00084C76" w14:paraId="44740A8B" w14:textId="77777777" w:rsidTr="00084C76">
        <w:trPr>
          <w:trHeight w:val="264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4950" w14:textId="77777777" w:rsidR="00084C76" w:rsidRPr="00084C76" w:rsidRDefault="00084C76" w:rsidP="00084C7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Percentages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6785" w14:textId="77777777" w:rsidR="00084C76" w:rsidRPr="00084C76" w:rsidRDefault="00084C76" w:rsidP="00084C76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</w:p>
        </w:tc>
      </w:tr>
      <w:tr w:rsidR="00084C76" w:rsidRPr="00084C76" w14:paraId="743F305B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5D4D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0E8A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AD7C" w14:textId="77777777" w:rsidR="00084C76" w:rsidRPr="00084C76" w:rsidRDefault="00084C76" w:rsidP="00084C76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084C76" w:rsidRPr="00084C76" w14:paraId="3F39907B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09C0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CA84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Area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6F388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Area 2</w:t>
            </w:r>
          </w:p>
        </w:tc>
      </w:tr>
      <w:tr w:rsidR="00084C76" w:rsidRPr="00084C76" w14:paraId="1C6ED53E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A3FD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A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EA91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15.7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855B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21.1</w:t>
            </w:r>
          </w:p>
        </w:tc>
      </w:tr>
      <w:tr w:rsidR="00084C76" w:rsidRPr="00084C76" w14:paraId="34F463A2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758D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B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8DBF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24.3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A4F7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33.3</w:t>
            </w:r>
          </w:p>
        </w:tc>
      </w:tr>
      <w:tr w:rsidR="00084C76" w:rsidRPr="00084C76" w14:paraId="0FFA4A43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17C5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Other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92D8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60.0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3DBC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45.6</w:t>
            </w:r>
          </w:p>
        </w:tc>
      </w:tr>
      <w:tr w:rsidR="00084C76" w:rsidRPr="00084C76" w14:paraId="71DC6AD9" w14:textId="77777777" w:rsidTr="00084C76">
        <w:trPr>
          <w:trHeight w:val="264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B493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Total</w:t>
            </w:r>
          </w:p>
        </w:tc>
        <w:tc>
          <w:tcPr>
            <w:tcW w:w="10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22C6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084C76">
              <w:rPr>
                <w:rFonts w:ascii="Arial" w:eastAsia="Times New Roman" w:hAnsi="Arial" w:cs="Arial"/>
                <w:b/>
                <w:bCs/>
                <w:lang w:eastAsia="it-IT"/>
              </w:rPr>
              <w:t>100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E8AF" w14:textId="77777777" w:rsidR="00084C76" w:rsidRPr="00084C76" w:rsidRDefault="00084C76" w:rsidP="00084C76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084C76">
              <w:rPr>
                <w:rFonts w:ascii="Arial" w:eastAsia="Times New Roman" w:hAnsi="Arial" w:cs="Arial"/>
                <w:lang w:eastAsia="it-IT"/>
              </w:rPr>
              <w:t>100</w:t>
            </w:r>
          </w:p>
        </w:tc>
      </w:tr>
    </w:tbl>
    <w:p w14:paraId="3058E02D" w14:textId="2C045001" w:rsidR="00084C76" w:rsidRDefault="00084C76" w:rsidP="00DC0B4B">
      <w:pPr>
        <w:rPr>
          <w:lang w:val="en-US"/>
        </w:rPr>
      </w:pPr>
    </w:p>
    <w:p w14:paraId="3C7E124D" w14:textId="7EFEB220" w:rsidR="00084C76" w:rsidRDefault="00323E78" w:rsidP="00323E78">
      <w:pPr>
        <w:pStyle w:val="Heading3"/>
        <w:rPr>
          <w:lang w:val="en-US"/>
        </w:rPr>
      </w:pPr>
      <w:r>
        <w:rPr>
          <w:lang w:val="en-US"/>
        </w:rPr>
        <w:t>Exercise 4</w:t>
      </w:r>
    </w:p>
    <w:tbl>
      <w:tblPr>
        <w:tblW w:w="6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0"/>
        <w:gridCol w:w="1308"/>
        <w:gridCol w:w="1308"/>
      </w:tblGrid>
      <w:tr w:rsidR="00323E78" w:rsidRPr="00323E78" w14:paraId="45AB94DF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8874" w14:textId="3937058A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val="en-US" w:eastAsia="it-IT"/>
              </w:rPr>
            </w:pPr>
            <w:r w:rsidRPr="00323E78">
              <w:rPr>
                <w:rFonts w:ascii="Arial" w:eastAsia="Times New Roman" w:hAnsi="Arial" w:cs="Arial"/>
                <w:lang w:val="en-US" w:eastAsia="it-IT"/>
              </w:rPr>
              <w:t xml:space="preserve">t-Test: Paired Two Sample for </w:t>
            </w:r>
            <w:r>
              <w:rPr>
                <w:rFonts w:ascii="Arial" w:eastAsia="Times New Roman" w:hAnsi="Arial" w:cs="Arial"/>
                <w:lang w:val="en-US" w:eastAsia="it-IT"/>
              </w:rPr>
              <w:t>M</w:t>
            </w:r>
            <w:r w:rsidRPr="00323E78">
              <w:rPr>
                <w:rFonts w:ascii="Arial" w:eastAsia="Times New Roman" w:hAnsi="Arial" w:cs="Arial"/>
                <w:lang w:val="en-US" w:eastAsia="it-IT"/>
              </w:rPr>
              <w:t>eans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C181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val="en-US" w:eastAsia="it-IT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32E7" w14:textId="77777777" w:rsidR="00323E78" w:rsidRPr="00323E78" w:rsidRDefault="00323E78" w:rsidP="00323E7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 w:eastAsia="it-IT"/>
              </w:rPr>
            </w:pPr>
          </w:p>
        </w:tc>
      </w:tr>
      <w:tr w:rsidR="00323E78" w:rsidRPr="00323E78" w14:paraId="64B7B89D" w14:textId="77777777" w:rsidTr="00323E78">
        <w:trPr>
          <w:trHeight w:val="276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F764" w14:textId="77777777" w:rsidR="00323E78" w:rsidRPr="00323E78" w:rsidRDefault="00323E78" w:rsidP="00323E7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 w:eastAsia="it-IT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A301" w14:textId="77777777" w:rsidR="00323E78" w:rsidRPr="00323E78" w:rsidRDefault="00323E78" w:rsidP="00323E7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 w:eastAsia="it-IT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1183" w14:textId="77777777" w:rsidR="00323E78" w:rsidRPr="00323E78" w:rsidRDefault="00323E78" w:rsidP="00323E7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val="en-US" w:eastAsia="it-IT"/>
              </w:rPr>
            </w:pPr>
          </w:p>
        </w:tc>
      </w:tr>
      <w:tr w:rsidR="00323E78" w:rsidRPr="00323E78" w14:paraId="6ED0DA26" w14:textId="77777777" w:rsidTr="00323E78">
        <w:trPr>
          <w:trHeight w:val="264"/>
        </w:trPr>
        <w:tc>
          <w:tcPr>
            <w:tcW w:w="3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239C5" w14:textId="77777777" w:rsidR="00323E78" w:rsidRPr="00323E78" w:rsidRDefault="00323E78" w:rsidP="00323E7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val="en-US" w:eastAsia="it-IT"/>
              </w:rPr>
            </w:pPr>
            <w:r w:rsidRPr="00323E78">
              <w:rPr>
                <w:rFonts w:ascii="Arial" w:eastAsia="Times New Roman" w:hAnsi="Arial" w:cs="Arial"/>
                <w:i/>
                <w:iCs/>
                <w:lang w:val="en-US" w:eastAsia="it-IT"/>
              </w:rPr>
              <w:t> </w:t>
            </w:r>
          </w:p>
        </w:tc>
        <w:tc>
          <w:tcPr>
            <w:tcW w:w="8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DF397E" w14:textId="77777777" w:rsidR="00323E78" w:rsidRPr="00323E78" w:rsidRDefault="00323E78" w:rsidP="00323E7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it-IT"/>
              </w:rPr>
            </w:pPr>
            <w:r w:rsidRPr="00323E78">
              <w:rPr>
                <w:rFonts w:ascii="Arial" w:eastAsia="Times New Roman" w:hAnsi="Arial" w:cs="Arial"/>
                <w:i/>
                <w:iCs/>
                <w:lang w:eastAsia="it-IT"/>
              </w:rPr>
              <w:t>Agent1</w:t>
            </w:r>
          </w:p>
        </w:tc>
        <w:tc>
          <w:tcPr>
            <w:tcW w:w="13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AD8B95" w14:textId="77777777" w:rsidR="00323E78" w:rsidRPr="00323E78" w:rsidRDefault="00323E78" w:rsidP="00323E78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i/>
                <w:iCs/>
                <w:lang w:eastAsia="it-IT"/>
              </w:rPr>
            </w:pPr>
            <w:r w:rsidRPr="00323E78">
              <w:rPr>
                <w:rFonts w:ascii="Arial" w:eastAsia="Times New Roman" w:hAnsi="Arial" w:cs="Arial"/>
                <w:i/>
                <w:iCs/>
                <w:lang w:eastAsia="it-IT"/>
              </w:rPr>
              <w:t>Agent2</w:t>
            </w:r>
          </w:p>
        </w:tc>
      </w:tr>
      <w:tr w:rsidR="00323E78" w:rsidRPr="00323E78" w14:paraId="7B03A2F7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C9EE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Mean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9F7B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8.25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FA5D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8.683333333</w:t>
            </w:r>
          </w:p>
        </w:tc>
      </w:tr>
      <w:tr w:rsidR="00323E78" w:rsidRPr="00323E78" w14:paraId="4F762E7C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CE1F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Variance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66CA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1.059090909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F999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1.077878788</w:t>
            </w:r>
          </w:p>
        </w:tc>
      </w:tr>
      <w:tr w:rsidR="00323E78" w:rsidRPr="00323E78" w14:paraId="24CE9C3D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24F7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Observations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0CA03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83FF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</w:tr>
      <w:tr w:rsidR="00323E78" w:rsidRPr="00323E78" w14:paraId="0C6EEDF4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9865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Pearson Correlation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1211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0.901055812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D291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2A4C627A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64FD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Hypothesized Mean Difference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DEBFE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0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DF2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41754FFF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ABC02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df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82D3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BA49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5D22E9EC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BC6F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t Stat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BD27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-3.263938591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37F1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1C48A9B7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F21E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val="en-US" w:eastAsia="it-IT"/>
              </w:rPr>
            </w:pPr>
            <w:r w:rsidRPr="00323E78">
              <w:rPr>
                <w:rFonts w:ascii="Arial" w:eastAsia="Times New Roman" w:hAnsi="Arial" w:cs="Arial"/>
                <w:lang w:val="en-US" w:eastAsia="it-IT"/>
              </w:rPr>
              <w:t>P(T&lt;=t) one-tail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92FEE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0.003772997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9ECC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1CBCB5F0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8E66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t Critical one-tail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AC61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1.795884819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076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7898CCD0" w14:textId="77777777" w:rsidTr="00323E78">
        <w:trPr>
          <w:trHeight w:val="264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C6E37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val="en-US" w:eastAsia="it-IT"/>
              </w:rPr>
            </w:pPr>
            <w:r w:rsidRPr="00323E78">
              <w:rPr>
                <w:rFonts w:ascii="Arial" w:eastAsia="Times New Roman" w:hAnsi="Arial" w:cs="Arial"/>
                <w:lang w:val="en-US" w:eastAsia="it-IT"/>
              </w:rPr>
              <w:t>P(T&lt;=t) two-tail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E609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0.007545995</w:t>
            </w: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A7A3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</w:p>
        </w:tc>
      </w:tr>
      <w:tr w:rsidR="00323E78" w:rsidRPr="00323E78" w14:paraId="4759D9A1" w14:textId="77777777" w:rsidTr="00323E78">
        <w:trPr>
          <w:trHeight w:val="276"/>
        </w:trPr>
        <w:tc>
          <w:tcPr>
            <w:tcW w:w="3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63509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t Critical two-tail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5D5C48" w14:textId="77777777" w:rsidR="00323E78" w:rsidRPr="00323E78" w:rsidRDefault="00323E78" w:rsidP="00323E78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2.20098516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A10F7" w14:textId="77777777" w:rsidR="00323E78" w:rsidRPr="00323E78" w:rsidRDefault="00323E78" w:rsidP="00323E78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323E78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</w:tr>
    </w:tbl>
    <w:p w14:paraId="0C0479E0" w14:textId="429AA40C" w:rsidR="00323E78" w:rsidRDefault="00323E78" w:rsidP="00323E78">
      <w:pPr>
        <w:rPr>
          <w:lang w:val="en-US"/>
        </w:rPr>
      </w:pPr>
    </w:p>
    <w:p w14:paraId="419426B8" w14:textId="6B9E29D2" w:rsidR="00E007FA" w:rsidRDefault="00E007FA" w:rsidP="00323E78">
      <w:pPr>
        <w:rPr>
          <w:lang w:val="en-US"/>
        </w:rPr>
      </w:pPr>
    </w:p>
    <w:p w14:paraId="2DB75A59" w14:textId="6E11C1F3" w:rsidR="00E007FA" w:rsidRDefault="00E007FA" w:rsidP="00323E78">
      <w:pPr>
        <w:rPr>
          <w:lang w:val="en-US"/>
        </w:rPr>
      </w:pPr>
    </w:p>
    <w:p w14:paraId="3A4A7B44" w14:textId="5667C06F" w:rsidR="00E007FA" w:rsidRDefault="00E007FA" w:rsidP="00323E78">
      <w:pPr>
        <w:rPr>
          <w:lang w:val="en-US"/>
        </w:rPr>
      </w:pPr>
    </w:p>
    <w:p w14:paraId="654E4F45" w14:textId="0843E7F5" w:rsidR="00E007FA" w:rsidRDefault="00E007FA" w:rsidP="00323E78">
      <w:pPr>
        <w:rPr>
          <w:lang w:val="en-US"/>
        </w:rPr>
      </w:pPr>
    </w:p>
    <w:p w14:paraId="302645F9" w14:textId="77777777" w:rsidR="00E007FA" w:rsidRDefault="00E007FA" w:rsidP="00323E78">
      <w:pPr>
        <w:rPr>
          <w:lang w:val="en-US"/>
        </w:rPr>
      </w:pPr>
    </w:p>
    <w:p w14:paraId="5656D17F" w14:textId="14A07E4E" w:rsidR="00323E78" w:rsidRDefault="00E007FA" w:rsidP="00E007FA">
      <w:pPr>
        <w:pStyle w:val="Heading3"/>
        <w:rPr>
          <w:lang w:val="en-US"/>
        </w:rPr>
      </w:pPr>
      <w:r>
        <w:rPr>
          <w:lang w:val="en-US"/>
        </w:rPr>
        <w:lastRenderedPageBreak/>
        <w:t>Exercise 5</w:t>
      </w:r>
    </w:p>
    <w:p w14:paraId="6C1A28C3" w14:textId="0498169A" w:rsidR="00E007FA" w:rsidRPr="00E007FA" w:rsidRDefault="00E007FA" w:rsidP="00E007FA">
      <w:pPr>
        <w:rPr>
          <w:lang w:val="en-US"/>
        </w:rPr>
      </w:pPr>
      <w:r>
        <w:rPr>
          <w:lang w:val="en-US"/>
        </w:rPr>
        <w:t xml:space="preserve">I </w:t>
      </w:r>
      <w:r w:rsidR="007207F0">
        <w:rPr>
          <w:lang w:val="en-US"/>
        </w:rPr>
        <w:t xml:space="preserve">generated these statistics using the same add-on presented to calculate the t-Test. That based on salaries found for men and women the main </w:t>
      </w:r>
      <w:r w:rsidR="009011B8">
        <w:rPr>
          <w:lang w:val="en-US"/>
        </w:rPr>
        <w:t xml:space="preserve">statistical data as mean, median, </w:t>
      </w:r>
      <w:proofErr w:type="spellStart"/>
      <w:r w:rsidR="009011B8">
        <w:rPr>
          <w:lang w:val="en-US"/>
        </w:rPr>
        <w:t>st</w:t>
      </w:r>
      <w:proofErr w:type="spellEnd"/>
      <w:r w:rsidR="009011B8">
        <w:rPr>
          <w:lang w:val="en-US"/>
        </w:rPr>
        <w:t xml:space="preserve"> dev and more.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863"/>
        <w:gridCol w:w="960"/>
        <w:gridCol w:w="2808"/>
        <w:gridCol w:w="792"/>
      </w:tblGrid>
      <w:tr w:rsidR="00E007FA" w:rsidRPr="00E007FA" w14:paraId="0318B545" w14:textId="77777777" w:rsidTr="00E007FA">
        <w:trPr>
          <w:trHeight w:val="252"/>
        </w:trPr>
        <w:tc>
          <w:tcPr>
            <w:tcW w:w="33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AFD038" w14:textId="77777777" w:rsidR="00E007FA" w:rsidRPr="00E007FA" w:rsidRDefault="00E007FA" w:rsidP="00E007FA">
            <w:pPr>
              <w:spacing w:before="0"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  <w:t>Men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F598" w14:textId="77777777" w:rsidR="00E007FA" w:rsidRPr="00E007FA" w:rsidRDefault="00E007FA" w:rsidP="00E007FA">
            <w:pPr>
              <w:spacing w:before="0"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</w:pP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81AEB8" w14:textId="77777777" w:rsidR="00E007FA" w:rsidRPr="00E007FA" w:rsidRDefault="00E007FA" w:rsidP="00E007FA">
            <w:pPr>
              <w:spacing w:before="0"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  <w:t>Female</w:t>
            </w:r>
          </w:p>
        </w:tc>
      </w:tr>
      <w:tr w:rsidR="00E007FA" w:rsidRPr="00E007FA" w14:paraId="26F26FE4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C52C" w14:textId="77777777" w:rsidR="00E007FA" w:rsidRPr="00E007FA" w:rsidRDefault="00E007FA" w:rsidP="00E007FA">
            <w:pPr>
              <w:spacing w:before="0" w:after="0" w:line="240" w:lineRule="auto"/>
              <w:jc w:val="center"/>
              <w:rPr>
                <w:rFonts w:ascii="MS Sans Serif" w:eastAsia="Times New Roman" w:hAnsi="MS Sans Serif" w:cs="Times New Roman"/>
                <w:i/>
                <w:iCs/>
                <w:lang w:eastAsia="it-IT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F102A" w14:textId="77777777" w:rsidR="00E007FA" w:rsidRPr="00E007FA" w:rsidRDefault="00E007FA" w:rsidP="00E007F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EA4F" w14:textId="77777777" w:rsidR="00E007FA" w:rsidRPr="00E007FA" w:rsidRDefault="00E007FA" w:rsidP="00E007F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A461" w14:textId="77777777" w:rsidR="00E007FA" w:rsidRPr="00E007FA" w:rsidRDefault="00E007FA" w:rsidP="00E007F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E240" w14:textId="77777777" w:rsidR="00E007FA" w:rsidRPr="00E007FA" w:rsidRDefault="00E007FA" w:rsidP="00E007F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E007FA" w:rsidRPr="00E007FA" w14:paraId="1B0BD56D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51F9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Mean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969F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53.12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3173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BA88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Mean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BE43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44.42</w:t>
            </w:r>
          </w:p>
        </w:tc>
      </w:tr>
      <w:tr w:rsidR="00E007FA" w:rsidRPr="00E007FA" w14:paraId="22B45BF5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7C35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Standard Error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CD47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3F655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F70B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Standard Error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2482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1.80</w:t>
            </w:r>
          </w:p>
        </w:tc>
      </w:tr>
      <w:tr w:rsidR="00E007FA" w:rsidRPr="00E007FA" w14:paraId="4E6C061E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84FA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Median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7182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52.10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3BB4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3A11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Median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5133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38.2</w:t>
            </w:r>
          </w:p>
        </w:tc>
      </w:tr>
      <w:tr w:rsidR="00E007FA" w:rsidRPr="00E007FA" w14:paraId="1C7D5841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41E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Mode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36DC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6619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8E32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Mode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DE815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33.4</w:t>
            </w:r>
          </w:p>
        </w:tc>
      </w:tr>
      <w:tr w:rsidR="00E007FA" w:rsidRPr="00E007FA" w14:paraId="7A06E877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7B60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Standard Deviation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CC97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F842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B287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Standard Deviation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A183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13.83</w:t>
            </w:r>
          </w:p>
        </w:tc>
      </w:tr>
      <w:tr w:rsidR="00E007FA" w:rsidRPr="00E007FA" w14:paraId="1B29F1AA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212D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Sample Variance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B69C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234.49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2A81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7AAC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Sample Variance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9DC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191.28</w:t>
            </w:r>
          </w:p>
        </w:tc>
      </w:tr>
      <w:tr w:rsidR="00E007FA" w:rsidRPr="00E007FA" w14:paraId="739C6EA0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BA3C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Kurtosis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617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0.44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11FC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BEC5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Kurtosis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7DAF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0.30</w:t>
            </w:r>
          </w:p>
        </w:tc>
      </w:tr>
      <w:tr w:rsidR="00E007FA" w:rsidRPr="00E007FA" w14:paraId="4C9DC0C9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D7FA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Skewness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625E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0.70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9419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8F20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Skewness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84D5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1.08</w:t>
            </w:r>
          </w:p>
        </w:tc>
      </w:tr>
      <w:tr w:rsidR="00E007FA" w:rsidRPr="00E007FA" w14:paraId="36FF6E51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9BDF4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Range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18CD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69.90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93E2D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305AF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Range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F366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52.9</w:t>
            </w:r>
          </w:p>
        </w:tc>
      </w:tr>
      <w:tr w:rsidR="00E007FA" w:rsidRPr="00E007FA" w14:paraId="11A58DC6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E03D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Minimum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22A3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AB10A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96E2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Minimum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75C8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30</w:t>
            </w:r>
          </w:p>
        </w:tc>
      </w:tr>
      <w:tr w:rsidR="00E007FA" w:rsidRPr="00E007FA" w14:paraId="1D0F58E3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9988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Maximum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BD84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100.90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32E5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28AC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Maximum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3223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82.9</w:t>
            </w:r>
          </w:p>
        </w:tc>
      </w:tr>
      <w:tr w:rsidR="00E007FA" w:rsidRPr="00E007FA" w14:paraId="6D9DE657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ACB7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Sum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E7C9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3134.20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D4E0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5A76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Sum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2679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2620.9</w:t>
            </w:r>
          </w:p>
        </w:tc>
      </w:tr>
      <w:tr w:rsidR="00E007FA" w:rsidRPr="00E007FA" w14:paraId="2FB04F63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9782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Count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3277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C9B6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13BA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Count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7A6B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59</w:t>
            </w:r>
          </w:p>
        </w:tc>
      </w:tr>
      <w:tr w:rsidR="00E007FA" w:rsidRPr="00E007FA" w14:paraId="5AAB87E9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4DD4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Largest(1)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06EB9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100.90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653A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60DA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Largest(1)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4B8F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82.9</w:t>
            </w:r>
          </w:p>
        </w:tc>
      </w:tr>
      <w:tr w:rsidR="00E007FA" w:rsidRPr="00E007FA" w14:paraId="3877A292" w14:textId="77777777" w:rsidTr="00E007FA">
        <w:trPr>
          <w:trHeight w:val="252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E31E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Smallest(1)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B7D6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6096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49A6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Smallest(1)</w:t>
            </w:r>
          </w:p>
        </w:tc>
        <w:tc>
          <w:tcPr>
            <w:tcW w:w="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3DB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30</w:t>
            </w:r>
          </w:p>
        </w:tc>
      </w:tr>
      <w:tr w:rsidR="00E007FA" w:rsidRPr="00E007FA" w14:paraId="0B6133D0" w14:textId="77777777" w:rsidTr="00E007FA">
        <w:trPr>
          <w:trHeight w:val="264"/>
        </w:trPr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49613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Confidence Level(95.0%)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1E4B58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2CCA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EF3D" w14:textId="77777777" w:rsidR="00E007FA" w:rsidRPr="00E007FA" w:rsidRDefault="00E007FA" w:rsidP="00E007FA">
            <w:pPr>
              <w:spacing w:before="0" w:after="0" w:line="240" w:lineRule="auto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Confidence Level(95.0%)</w:t>
            </w:r>
          </w:p>
        </w:tc>
        <w:tc>
          <w:tcPr>
            <w:tcW w:w="7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5D74B" w14:textId="77777777" w:rsidR="00E007FA" w:rsidRPr="00E007FA" w:rsidRDefault="00E007FA" w:rsidP="00E007FA">
            <w:pPr>
              <w:spacing w:before="0" w:after="0" w:line="240" w:lineRule="auto"/>
              <w:jc w:val="right"/>
              <w:rPr>
                <w:rFonts w:ascii="MS Sans Serif" w:eastAsia="Times New Roman" w:hAnsi="MS Sans Serif" w:cs="Times New Roman"/>
                <w:lang w:eastAsia="it-IT"/>
              </w:rPr>
            </w:pPr>
            <w:r w:rsidRPr="00E007FA">
              <w:rPr>
                <w:rFonts w:ascii="MS Sans Serif" w:eastAsia="Times New Roman" w:hAnsi="MS Sans Serif" w:cs="Times New Roman"/>
                <w:lang w:eastAsia="it-IT"/>
              </w:rPr>
              <w:t>3.60</w:t>
            </w:r>
          </w:p>
        </w:tc>
      </w:tr>
    </w:tbl>
    <w:p w14:paraId="06395675" w14:textId="169FFEF7" w:rsidR="00E007FA" w:rsidRDefault="00E007FA" w:rsidP="00E007FA">
      <w:pPr>
        <w:rPr>
          <w:lang w:val="en-US"/>
        </w:rPr>
      </w:pPr>
    </w:p>
    <w:p w14:paraId="130501A1" w14:textId="6028779E" w:rsidR="009011B8" w:rsidRDefault="00942955" w:rsidP="00E007FA">
      <w:pPr>
        <w:rPr>
          <w:lang w:val="en-US"/>
        </w:rPr>
      </w:pPr>
      <w:r>
        <w:rPr>
          <w:lang w:val="en-US"/>
        </w:rPr>
        <w:t>From these data</w:t>
      </w:r>
      <w:r w:rsidR="0044666A">
        <w:rPr>
          <w:lang w:val="en-US"/>
        </w:rPr>
        <w:t>,</w:t>
      </w:r>
      <w:r>
        <w:rPr>
          <w:lang w:val="en-US"/>
        </w:rPr>
        <w:t xml:space="preserve"> we can notice a significant gender gap in favor of men. </w:t>
      </w:r>
      <w:r w:rsidR="00F368C7">
        <w:rPr>
          <w:lang w:val="en-US"/>
        </w:rPr>
        <w:t xml:space="preserve">The means are respectively 53k and 44k, </w:t>
      </w:r>
      <w:r w:rsidR="00F61066">
        <w:rPr>
          <w:lang w:val="en-US"/>
        </w:rPr>
        <w:t xml:space="preserve">20.4% higher. </w:t>
      </w:r>
      <w:r w:rsidR="00D147FC">
        <w:rPr>
          <w:lang w:val="en-US"/>
        </w:rPr>
        <w:t xml:space="preserve">The minimum salaries are around 30k for both, but 1) men have access to higher salaries in the order of 100k, while women get at most 82k. </w:t>
      </w:r>
      <w:r w:rsidR="00C905BB">
        <w:rPr>
          <w:lang w:val="en-US"/>
        </w:rPr>
        <w:t xml:space="preserve">2) </w:t>
      </w:r>
      <w:r w:rsidR="0044666A">
        <w:rPr>
          <w:lang w:val="en-US"/>
        </w:rPr>
        <w:t>Women’s salaries are less sparse and dense on the lower scale.</w:t>
      </w:r>
    </w:p>
    <w:p w14:paraId="0B81CDEE" w14:textId="0DC5DBA9" w:rsidR="004D11F4" w:rsidRDefault="004D11F4" w:rsidP="00E007FA">
      <w:pPr>
        <w:rPr>
          <w:lang w:val="en-US"/>
        </w:rPr>
      </w:pPr>
    </w:p>
    <w:p w14:paraId="7A889EB5" w14:textId="663D8E6C" w:rsidR="004D11F4" w:rsidRDefault="004D11F4" w:rsidP="00E007FA">
      <w:pPr>
        <w:rPr>
          <w:lang w:val="en-US"/>
        </w:rPr>
      </w:pPr>
    </w:p>
    <w:p w14:paraId="628DAB0F" w14:textId="6FE858E1" w:rsidR="004D11F4" w:rsidRDefault="004D11F4" w:rsidP="00E007FA">
      <w:pPr>
        <w:rPr>
          <w:lang w:val="en-US"/>
        </w:rPr>
      </w:pPr>
    </w:p>
    <w:p w14:paraId="3FA6A84C" w14:textId="77934F7C" w:rsidR="004D11F4" w:rsidRDefault="004D11F4" w:rsidP="00E007FA">
      <w:pPr>
        <w:rPr>
          <w:lang w:val="en-US"/>
        </w:rPr>
      </w:pPr>
    </w:p>
    <w:p w14:paraId="695D4D1E" w14:textId="3B646884" w:rsidR="004D11F4" w:rsidRDefault="004D11F4" w:rsidP="00E007FA">
      <w:pPr>
        <w:rPr>
          <w:lang w:val="en-US"/>
        </w:rPr>
      </w:pPr>
    </w:p>
    <w:p w14:paraId="160A6A05" w14:textId="28920208" w:rsidR="004D11F4" w:rsidRDefault="004D11F4" w:rsidP="00E007FA">
      <w:pPr>
        <w:rPr>
          <w:lang w:val="en-US"/>
        </w:rPr>
      </w:pPr>
    </w:p>
    <w:p w14:paraId="0464B9F0" w14:textId="273DD52D" w:rsidR="004D11F4" w:rsidRDefault="004D11F4" w:rsidP="00E007FA">
      <w:pPr>
        <w:rPr>
          <w:lang w:val="en-US"/>
        </w:rPr>
      </w:pPr>
    </w:p>
    <w:p w14:paraId="0A27E08A" w14:textId="36DDC2A9" w:rsidR="004D11F4" w:rsidRDefault="004D11F4" w:rsidP="00E007FA">
      <w:pPr>
        <w:rPr>
          <w:lang w:val="en-US"/>
        </w:rPr>
      </w:pPr>
    </w:p>
    <w:p w14:paraId="74818D88" w14:textId="291F86D4" w:rsidR="004D11F4" w:rsidRDefault="004D11F4" w:rsidP="00E007FA">
      <w:pPr>
        <w:rPr>
          <w:lang w:val="en-US"/>
        </w:rPr>
      </w:pPr>
    </w:p>
    <w:p w14:paraId="39844690" w14:textId="2293CA19" w:rsidR="004D11F4" w:rsidRDefault="004D11F4" w:rsidP="00E007FA">
      <w:pPr>
        <w:rPr>
          <w:lang w:val="en-US"/>
        </w:rPr>
      </w:pPr>
    </w:p>
    <w:p w14:paraId="1ABCD503" w14:textId="594482D8" w:rsidR="004D11F4" w:rsidRDefault="004D11F4" w:rsidP="00E007FA">
      <w:pPr>
        <w:rPr>
          <w:lang w:val="en-US"/>
        </w:rPr>
      </w:pPr>
    </w:p>
    <w:p w14:paraId="345C7F7F" w14:textId="5B93FB9C" w:rsidR="004D11F4" w:rsidRDefault="004D11F4" w:rsidP="00E007FA">
      <w:pPr>
        <w:rPr>
          <w:lang w:val="en-US"/>
        </w:rPr>
      </w:pPr>
    </w:p>
    <w:p w14:paraId="57286CA8" w14:textId="522446D9" w:rsidR="004D11F4" w:rsidRDefault="004D11F4" w:rsidP="004D11F4">
      <w:pPr>
        <w:pStyle w:val="Heading2"/>
        <w:rPr>
          <w:lang w:val="en-US"/>
        </w:rPr>
      </w:pPr>
      <w:r>
        <w:rPr>
          <w:lang w:val="en-US"/>
        </w:rPr>
        <w:lastRenderedPageBreak/>
        <w:t>Unit 9</w:t>
      </w:r>
    </w:p>
    <w:p w14:paraId="54BECDF2" w14:textId="69FF0084" w:rsidR="004D11F4" w:rsidRDefault="004D11F4" w:rsidP="004D11F4">
      <w:pPr>
        <w:pStyle w:val="Heading3"/>
        <w:rPr>
          <w:lang w:val="en-US"/>
        </w:rPr>
      </w:pPr>
      <w:r>
        <w:rPr>
          <w:lang w:val="en-US"/>
        </w:rPr>
        <w:t>Exercise 1</w:t>
      </w:r>
    </w:p>
    <w:p w14:paraId="76C3A96F" w14:textId="392D5C79" w:rsidR="004D11F4" w:rsidRPr="004D11F4" w:rsidRDefault="004D11F4" w:rsidP="004D11F4">
      <w:pPr>
        <w:rPr>
          <w:lang w:val="en-US"/>
        </w:rPr>
      </w:pPr>
      <w:r>
        <w:rPr>
          <w:noProof/>
        </w:rPr>
        <w:drawing>
          <wp:inline distT="0" distB="0" distL="0" distR="0" wp14:anchorId="1C41554B" wp14:editId="1171CEBA">
            <wp:extent cx="4572000" cy="28879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D6CFBE-EA93-120A-220B-73AC65495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144DC36" w14:textId="7C11A201" w:rsidR="004D11F4" w:rsidRDefault="00C50077" w:rsidP="004D11F4">
      <w:pPr>
        <w:rPr>
          <w:lang w:val="en-US"/>
        </w:rPr>
      </w:pPr>
      <w:r>
        <w:rPr>
          <w:lang w:val="en-US"/>
        </w:rPr>
        <w:t>Chart</w:t>
      </w:r>
      <w:r w:rsidR="004D11F4">
        <w:rPr>
          <w:lang w:val="en-US"/>
        </w:rPr>
        <w:t xml:space="preserve"> of Area 2</w:t>
      </w:r>
    </w:p>
    <w:p w14:paraId="7490BCBE" w14:textId="6FA5C419" w:rsidR="004D11F4" w:rsidRDefault="004D11F4" w:rsidP="004D11F4">
      <w:pPr>
        <w:rPr>
          <w:lang w:val="en-US"/>
        </w:rPr>
      </w:pPr>
    </w:p>
    <w:p w14:paraId="4560F5AF" w14:textId="3F398B3F" w:rsidR="004D11F4" w:rsidRDefault="004D11F4" w:rsidP="004D11F4">
      <w:pPr>
        <w:pStyle w:val="Heading3"/>
        <w:rPr>
          <w:lang w:val="en-US"/>
        </w:rPr>
      </w:pPr>
      <w:r>
        <w:rPr>
          <w:lang w:val="en-US"/>
        </w:rPr>
        <w:t>Exercise 2</w:t>
      </w:r>
    </w:p>
    <w:p w14:paraId="1D9FD112" w14:textId="40E776B0" w:rsidR="004D11F4" w:rsidRDefault="00BC6831" w:rsidP="004D11F4">
      <w:pPr>
        <w:rPr>
          <w:lang w:val="en-US"/>
        </w:rPr>
      </w:pPr>
      <w:r>
        <w:rPr>
          <w:noProof/>
        </w:rPr>
        <w:drawing>
          <wp:inline distT="0" distB="0" distL="0" distR="0" wp14:anchorId="01CE22D7" wp14:editId="5C1B4A2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AD58E92-204B-9578-0C73-4C8A90BD9E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AC10AD1" w14:textId="2AC8B557" w:rsidR="00BC6831" w:rsidRDefault="00BC6831" w:rsidP="004D11F4">
      <w:pPr>
        <w:rPr>
          <w:lang w:val="en-US"/>
        </w:rPr>
      </w:pPr>
    </w:p>
    <w:p w14:paraId="70E19408" w14:textId="3A048BE7" w:rsidR="00BC6831" w:rsidRDefault="00BC6831" w:rsidP="004D11F4">
      <w:pPr>
        <w:rPr>
          <w:lang w:val="en-US"/>
        </w:rPr>
      </w:pPr>
      <w:r>
        <w:rPr>
          <w:lang w:val="en-US"/>
        </w:rPr>
        <w:t xml:space="preserve">Location A and Location B </w:t>
      </w:r>
      <w:r w:rsidR="00C50077">
        <w:rPr>
          <w:lang w:val="en-US"/>
        </w:rPr>
        <w:t xml:space="preserve">are </w:t>
      </w:r>
      <w:r>
        <w:rPr>
          <w:lang w:val="en-US"/>
        </w:rPr>
        <w:t xml:space="preserve">on the same </w:t>
      </w:r>
      <w:r w:rsidR="00C50077">
        <w:rPr>
          <w:lang w:val="en-US"/>
        </w:rPr>
        <w:t>chart</w:t>
      </w:r>
      <w:r>
        <w:rPr>
          <w:lang w:val="en-US"/>
        </w:rPr>
        <w:t>. We can clearly see that in location A</w:t>
      </w:r>
      <w:r w:rsidR="004D466A">
        <w:rPr>
          <w:lang w:val="en-US"/>
        </w:rPr>
        <w:t xml:space="preserve"> most of the flowers are Sparse/Abundant, and in Location B </w:t>
      </w:r>
      <w:r w:rsidR="003B009E">
        <w:rPr>
          <w:lang w:val="en-US"/>
        </w:rPr>
        <w:t>most are Absent/Sparse.</w:t>
      </w:r>
    </w:p>
    <w:p w14:paraId="32A15893" w14:textId="72CFD172" w:rsidR="003B009E" w:rsidRDefault="003B009E" w:rsidP="004D11F4">
      <w:pPr>
        <w:rPr>
          <w:lang w:val="en-US"/>
        </w:rPr>
      </w:pPr>
    </w:p>
    <w:p w14:paraId="29A2FEA6" w14:textId="3DC141C2" w:rsidR="003B009E" w:rsidRDefault="003B009E" w:rsidP="003B009E">
      <w:pPr>
        <w:pStyle w:val="Heading3"/>
        <w:rPr>
          <w:lang w:val="en-US"/>
        </w:rPr>
      </w:pPr>
      <w:r>
        <w:rPr>
          <w:lang w:val="en-US"/>
        </w:rPr>
        <w:lastRenderedPageBreak/>
        <w:t>Exercise 3</w:t>
      </w:r>
    </w:p>
    <w:p w14:paraId="3A048C63" w14:textId="77777777" w:rsidR="00F656AD" w:rsidRPr="00F656AD" w:rsidRDefault="00F656AD" w:rsidP="00F656AD">
      <w:pPr>
        <w:rPr>
          <w:lang w:val="en-US"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160"/>
        <w:gridCol w:w="960"/>
        <w:gridCol w:w="960"/>
        <w:gridCol w:w="1160"/>
      </w:tblGrid>
      <w:tr w:rsidR="00C53D77" w:rsidRPr="00C53D77" w14:paraId="686C5080" w14:textId="77777777" w:rsidTr="00C53D77">
        <w:trPr>
          <w:trHeight w:val="26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5BA9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D3425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2970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77CB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072E1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C3D5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8EA8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B06D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Class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226EF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Relative</w:t>
            </w:r>
          </w:p>
        </w:tc>
      </w:tr>
      <w:tr w:rsidR="00C53D77" w:rsidRPr="00C53D77" w14:paraId="28E64DCB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28C0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Diet 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16F4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7A3D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50.00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49B4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6C89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UCB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49E34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Frequency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3A4F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7C7A3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Mark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27104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Frequency</w:t>
            </w:r>
          </w:p>
        </w:tc>
      </w:tr>
      <w:tr w:rsidR="00C53D77" w:rsidRPr="00C53D77" w14:paraId="7EFA9A6E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33D17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54BF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28D6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E608C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CDA7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3DA3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5201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BEE9E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-1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DFFCA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0.06</w:t>
            </w:r>
          </w:p>
        </w:tc>
      </w:tr>
      <w:tr w:rsidR="00C53D77" w:rsidRPr="00C53D77" w14:paraId="17B0C3D5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B0C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7CC2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SD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312FE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2.77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5F23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726B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4F42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6F65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360F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920C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0.2</w:t>
            </w:r>
          </w:p>
        </w:tc>
      </w:tr>
      <w:tr w:rsidR="00C53D77" w:rsidRPr="00C53D77" w14:paraId="0F5346BC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8463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CB24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2039D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6837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D913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F9899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1898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7888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AFCF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0.3</w:t>
            </w:r>
          </w:p>
        </w:tc>
      </w:tr>
      <w:tr w:rsidR="00C53D77" w:rsidRPr="00C53D77" w14:paraId="3869F50E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D460F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63EC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73098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-4.148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2B94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D056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71F2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530C0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BF570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B2AA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0.22</w:t>
            </w:r>
          </w:p>
        </w:tc>
      </w:tr>
      <w:tr w:rsidR="00C53D77" w:rsidRPr="00C53D77" w14:paraId="575EAA1B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6FF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7777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E0078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10.539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FB1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20C21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3E3C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3B06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03A3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F5E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0.16</w:t>
            </w:r>
          </w:p>
        </w:tc>
      </w:tr>
      <w:tr w:rsidR="00C53D77" w:rsidRPr="00C53D77" w14:paraId="7C27EC23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A972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59DF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A996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14.687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B6B6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2814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F5771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A4B2B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5E2E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CEF9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0.04</w:t>
            </w:r>
          </w:p>
        </w:tc>
      </w:tr>
      <w:tr w:rsidR="00C53D77" w:rsidRPr="00C53D77" w14:paraId="29DBED4E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AF812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A009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3669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3C60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0DBD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BD7D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D363C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65CC2" w14:textId="77777777" w:rsidR="00C53D77" w:rsidRPr="00C53D77" w:rsidRDefault="00C53D77" w:rsidP="00C53D7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16AD2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0.02</w:t>
            </w:r>
          </w:p>
        </w:tc>
      </w:tr>
      <w:tr w:rsidR="00C53D77" w:rsidRPr="00C53D77" w14:paraId="697B883F" w14:textId="77777777" w:rsidTr="00C53D77">
        <w:trPr>
          <w:trHeight w:val="26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9C34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730C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6C74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3507F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CE03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31391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290A6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3E43B" w14:textId="77777777" w:rsidR="00C53D77" w:rsidRPr="00C53D77" w:rsidRDefault="00C53D77" w:rsidP="00C53D77">
            <w:pPr>
              <w:spacing w:before="0" w:after="0" w:line="240" w:lineRule="auto"/>
              <w:rPr>
                <w:rFonts w:ascii="Arial" w:eastAsia="Times New Roman" w:hAnsi="Arial" w:cs="Arial"/>
                <w:b/>
                <w:bCs/>
                <w:lang w:eastAsia="it-IT"/>
              </w:rPr>
            </w:pPr>
            <w:r w:rsidRPr="00C53D77">
              <w:rPr>
                <w:rFonts w:ascii="Arial" w:eastAsia="Times New Roman" w:hAnsi="Arial" w:cs="Arial"/>
                <w:b/>
                <w:bCs/>
                <w:lang w:eastAsia="it-IT"/>
              </w:rPr>
              <w:t>TOTAL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808D" w14:textId="77777777" w:rsidR="00C53D77" w:rsidRPr="00C53D77" w:rsidRDefault="00C53D77" w:rsidP="00C53D77">
            <w:pPr>
              <w:spacing w:before="0" w:after="0" w:line="240" w:lineRule="auto"/>
              <w:jc w:val="right"/>
              <w:rPr>
                <w:rFonts w:ascii="Arial" w:eastAsia="Times New Roman" w:hAnsi="Arial" w:cs="Arial"/>
                <w:lang w:eastAsia="it-IT"/>
              </w:rPr>
            </w:pPr>
            <w:r w:rsidRPr="00C53D77">
              <w:rPr>
                <w:rFonts w:ascii="Arial" w:eastAsia="Times New Roman" w:hAnsi="Arial" w:cs="Arial"/>
                <w:lang w:eastAsia="it-IT"/>
              </w:rPr>
              <w:t>1</w:t>
            </w:r>
          </w:p>
        </w:tc>
      </w:tr>
    </w:tbl>
    <w:p w14:paraId="3AFBB23C" w14:textId="4C61BBB5" w:rsidR="00C53D77" w:rsidRDefault="00F656AD" w:rsidP="003B009E">
      <w:pPr>
        <w:rPr>
          <w:lang w:val="en-US"/>
        </w:rPr>
      </w:pPr>
      <w:r>
        <w:rPr>
          <w:noProof/>
        </w:rPr>
        <w:drawing>
          <wp:inline distT="0" distB="0" distL="0" distR="0" wp14:anchorId="3A685DBF" wp14:editId="731CC882">
            <wp:extent cx="4335780" cy="2385060"/>
            <wp:effectExtent l="0" t="0" r="7620" b="152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ABEE553-08F3-6B3C-759C-4DAFCAA564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E7B1FFC" w14:textId="11726947" w:rsidR="00F656AD" w:rsidRDefault="00F656AD" w:rsidP="003B009E">
      <w:pPr>
        <w:rPr>
          <w:lang w:val="en-US"/>
        </w:rPr>
      </w:pPr>
      <w:r>
        <w:rPr>
          <w:lang w:val="en-US"/>
        </w:rPr>
        <w:t xml:space="preserve">As shown before, from simple data, Diet A is more effective than Diet B. </w:t>
      </w:r>
      <w:r w:rsidR="005A1F68">
        <w:rPr>
          <w:lang w:val="en-US"/>
        </w:rPr>
        <w:t>Basically patients on Diet A lost more weight and with more consistency.</w:t>
      </w:r>
    </w:p>
    <w:p w14:paraId="6D3D784C" w14:textId="1D2FEA40" w:rsidR="00A63AC0" w:rsidRDefault="00A63AC0" w:rsidP="003B009E">
      <w:pPr>
        <w:rPr>
          <w:lang w:val="en-US"/>
        </w:rPr>
      </w:pPr>
      <w:r>
        <w:rPr>
          <w:lang w:val="en-US"/>
        </w:rPr>
        <w:t xml:space="preserve">For </w:t>
      </w:r>
      <w:r w:rsidR="00C50077">
        <w:rPr>
          <w:lang w:val="en-US"/>
        </w:rPr>
        <w:t>completeness, this is the chart of Diet A.</w:t>
      </w:r>
      <w:r w:rsidR="00A354AE" w:rsidRPr="00A354AE">
        <w:rPr>
          <w:noProof/>
          <w:lang w:val="en-US"/>
        </w:rPr>
        <w:t xml:space="preserve"> </w:t>
      </w:r>
      <w:r w:rsidR="00A354AE">
        <w:rPr>
          <w:noProof/>
        </w:rPr>
        <w:drawing>
          <wp:inline distT="0" distB="0" distL="0" distR="0" wp14:anchorId="074BBA81" wp14:editId="5BCB3359">
            <wp:extent cx="4960620" cy="2354580"/>
            <wp:effectExtent l="0" t="0" r="1143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64EED5" w14:textId="28962D77" w:rsidR="00801DD0" w:rsidRDefault="00352DBA" w:rsidP="003B009E">
      <w:pPr>
        <w:rPr>
          <w:lang w:val="en-US"/>
        </w:rPr>
      </w:pPr>
      <w:r>
        <w:rPr>
          <w:lang w:val="en-US"/>
        </w:rPr>
        <w:t>The 60% of patients on Diet A lost between 4 and 8 kg.</w:t>
      </w:r>
      <w:r w:rsidR="00801DD0">
        <w:rPr>
          <w:lang w:val="en-US"/>
        </w:rPr>
        <w:br/>
        <w:t xml:space="preserve">Instead on Diet B the peak is less broad </w:t>
      </w:r>
      <w:r w:rsidR="00B61BAA">
        <w:rPr>
          <w:lang w:val="en-US"/>
        </w:rPr>
        <w:t>and at the same 30% but patients but patients then lost just between 2 to 4 kg.</w:t>
      </w:r>
    </w:p>
    <w:p w14:paraId="157B7EEF" w14:textId="77777777" w:rsidR="00F656AD" w:rsidRPr="003B009E" w:rsidRDefault="00F656AD" w:rsidP="003B009E">
      <w:pPr>
        <w:rPr>
          <w:lang w:val="en-US"/>
        </w:rPr>
      </w:pPr>
    </w:p>
    <w:sectPr w:rsidR="00F656AD" w:rsidRPr="003B00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5A9"/>
    <w:multiLevelType w:val="hybridMultilevel"/>
    <w:tmpl w:val="B3DA68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73D10"/>
    <w:multiLevelType w:val="hybridMultilevel"/>
    <w:tmpl w:val="7EFAA43C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4362B7E"/>
    <w:multiLevelType w:val="hybridMultilevel"/>
    <w:tmpl w:val="65EED3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496170">
    <w:abstractNumId w:val="1"/>
  </w:num>
  <w:num w:numId="2" w16cid:durableId="1079256985">
    <w:abstractNumId w:val="2"/>
  </w:num>
  <w:num w:numId="3" w16cid:durableId="56349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37"/>
    <w:rsid w:val="00003F6E"/>
    <w:rsid w:val="0002342B"/>
    <w:rsid w:val="00026881"/>
    <w:rsid w:val="00027E2A"/>
    <w:rsid w:val="000379C2"/>
    <w:rsid w:val="00055D41"/>
    <w:rsid w:val="00061254"/>
    <w:rsid w:val="00064E61"/>
    <w:rsid w:val="00082553"/>
    <w:rsid w:val="00084C76"/>
    <w:rsid w:val="00086912"/>
    <w:rsid w:val="000925BC"/>
    <w:rsid w:val="00095402"/>
    <w:rsid w:val="000D3705"/>
    <w:rsid w:val="000D76DD"/>
    <w:rsid w:val="000F15DB"/>
    <w:rsid w:val="00106013"/>
    <w:rsid w:val="0012203C"/>
    <w:rsid w:val="00132B3E"/>
    <w:rsid w:val="00137152"/>
    <w:rsid w:val="00140539"/>
    <w:rsid w:val="00146713"/>
    <w:rsid w:val="00170D6B"/>
    <w:rsid w:val="00186B7B"/>
    <w:rsid w:val="001A069B"/>
    <w:rsid w:val="001A5A7E"/>
    <w:rsid w:val="001B502E"/>
    <w:rsid w:val="001B5840"/>
    <w:rsid w:val="001B73E6"/>
    <w:rsid w:val="001B7A05"/>
    <w:rsid w:val="001C6007"/>
    <w:rsid w:val="001D08AB"/>
    <w:rsid w:val="001D2BBE"/>
    <w:rsid w:val="001E2520"/>
    <w:rsid w:val="001F4A37"/>
    <w:rsid w:val="001F4F68"/>
    <w:rsid w:val="00200C7C"/>
    <w:rsid w:val="00217A18"/>
    <w:rsid w:val="0027370B"/>
    <w:rsid w:val="002760EF"/>
    <w:rsid w:val="00277161"/>
    <w:rsid w:val="002779BF"/>
    <w:rsid w:val="002A376E"/>
    <w:rsid w:val="002A7B8E"/>
    <w:rsid w:val="002B1753"/>
    <w:rsid w:val="002C23B1"/>
    <w:rsid w:val="002C701F"/>
    <w:rsid w:val="002D5AEC"/>
    <w:rsid w:val="00301B8F"/>
    <w:rsid w:val="003030B0"/>
    <w:rsid w:val="00307299"/>
    <w:rsid w:val="0031201B"/>
    <w:rsid w:val="0032331C"/>
    <w:rsid w:val="00323E78"/>
    <w:rsid w:val="00352DBA"/>
    <w:rsid w:val="00380C93"/>
    <w:rsid w:val="003A39A7"/>
    <w:rsid w:val="003A6299"/>
    <w:rsid w:val="003B009E"/>
    <w:rsid w:val="003E428B"/>
    <w:rsid w:val="00401B69"/>
    <w:rsid w:val="0044666A"/>
    <w:rsid w:val="00470242"/>
    <w:rsid w:val="0048272C"/>
    <w:rsid w:val="0049248D"/>
    <w:rsid w:val="004A080A"/>
    <w:rsid w:val="004B2191"/>
    <w:rsid w:val="004D11F4"/>
    <w:rsid w:val="004D466A"/>
    <w:rsid w:val="004F3154"/>
    <w:rsid w:val="00500BD1"/>
    <w:rsid w:val="00501BED"/>
    <w:rsid w:val="00545921"/>
    <w:rsid w:val="00550FA4"/>
    <w:rsid w:val="00553373"/>
    <w:rsid w:val="00555C2F"/>
    <w:rsid w:val="00557773"/>
    <w:rsid w:val="00570750"/>
    <w:rsid w:val="00585695"/>
    <w:rsid w:val="005A1F68"/>
    <w:rsid w:val="005C789A"/>
    <w:rsid w:val="005D1A84"/>
    <w:rsid w:val="005F7861"/>
    <w:rsid w:val="00603A84"/>
    <w:rsid w:val="00611121"/>
    <w:rsid w:val="006120B7"/>
    <w:rsid w:val="00643FEF"/>
    <w:rsid w:val="0065069F"/>
    <w:rsid w:val="00665BDF"/>
    <w:rsid w:val="006743A2"/>
    <w:rsid w:val="00682C09"/>
    <w:rsid w:val="00690D51"/>
    <w:rsid w:val="006D6E29"/>
    <w:rsid w:val="006E1CB9"/>
    <w:rsid w:val="007207F0"/>
    <w:rsid w:val="00726094"/>
    <w:rsid w:val="00737E04"/>
    <w:rsid w:val="00742AA4"/>
    <w:rsid w:val="007473BF"/>
    <w:rsid w:val="007552F0"/>
    <w:rsid w:val="00773D72"/>
    <w:rsid w:val="007A1A76"/>
    <w:rsid w:val="007B05F8"/>
    <w:rsid w:val="007B7EF6"/>
    <w:rsid w:val="007F337E"/>
    <w:rsid w:val="00801DD0"/>
    <w:rsid w:val="0081057C"/>
    <w:rsid w:val="008144D6"/>
    <w:rsid w:val="00823BDE"/>
    <w:rsid w:val="00853C28"/>
    <w:rsid w:val="00865243"/>
    <w:rsid w:val="00872EDE"/>
    <w:rsid w:val="00880EE5"/>
    <w:rsid w:val="00887D48"/>
    <w:rsid w:val="0089614C"/>
    <w:rsid w:val="008B5168"/>
    <w:rsid w:val="008B54F5"/>
    <w:rsid w:val="009011B8"/>
    <w:rsid w:val="009304A1"/>
    <w:rsid w:val="00941D97"/>
    <w:rsid w:val="00942955"/>
    <w:rsid w:val="009505CA"/>
    <w:rsid w:val="00954288"/>
    <w:rsid w:val="00964421"/>
    <w:rsid w:val="00975BA4"/>
    <w:rsid w:val="00981176"/>
    <w:rsid w:val="009816A9"/>
    <w:rsid w:val="00985D47"/>
    <w:rsid w:val="0099100F"/>
    <w:rsid w:val="009A15AC"/>
    <w:rsid w:val="009A4C41"/>
    <w:rsid w:val="009B1AC1"/>
    <w:rsid w:val="009B7180"/>
    <w:rsid w:val="009C67A8"/>
    <w:rsid w:val="009D1478"/>
    <w:rsid w:val="009D6ED7"/>
    <w:rsid w:val="009D7954"/>
    <w:rsid w:val="00A01668"/>
    <w:rsid w:val="00A340B5"/>
    <w:rsid w:val="00A354AE"/>
    <w:rsid w:val="00A452CD"/>
    <w:rsid w:val="00A46A15"/>
    <w:rsid w:val="00A501FC"/>
    <w:rsid w:val="00A532D9"/>
    <w:rsid w:val="00A533BB"/>
    <w:rsid w:val="00A63AC0"/>
    <w:rsid w:val="00A84168"/>
    <w:rsid w:val="00A87011"/>
    <w:rsid w:val="00AC4AAE"/>
    <w:rsid w:val="00AF7E97"/>
    <w:rsid w:val="00B059DF"/>
    <w:rsid w:val="00B23521"/>
    <w:rsid w:val="00B26133"/>
    <w:rsid w:val="00B365B9"/>
    <w:rsid w:val="00B40EE2"/>
    <w:rsid w:val="00B51D1E"/>
    <w:rsid w:val="00B56046"/>
    <w:rsid w:val="00B61538"/>
    <w:rsid w:val="00B61BAA"/>
    <w:rsid w:val="00B8711F"/>
    <w:rsid w:val="00B9006A"/>
    <w:rsid w:val="00BA5332"/>
    <w:rsid w:val="00BC581C"/>
    <w:rsid w:val="00BC6831"/>
    <w:rsid w:val="00BD5750"/>
    <w:rsid w:val="00BF36E8"/>
    <w:rsid w:val="00C17392"/>
    <w:rsid w:val="00C269D1"/>
    <w:rsid w:val="00C36DCA"/>
    <w:rsid w:val="00C44D92"/>
    <w:rsid w:val="00C50077"/>
    <w:rsid w:val="00C524CB"/>
    <w:rsid w:val="00C524DC"/>
    <w:rsid w:val="00C53976"/>
    <w:rsid w:val="00C53D77"/>
    <w:rsid w:val="00C65A1C"/>
    <w:rsid w:val="00C82B96"/>
    <w:rsid w:val="00C905BB"/>
    <w:rsid w:val="00C9556D"/>
    <w:rsid w:val="00CC69CB"/>
    <w:rsid w:val="00CF0DE7"/>
    <w:rsid w:val="00CF476C"/>
    <w:rsid w:val="00CF5E03"/>
    <w:rsid w:val="00D147FC"/>
    <w:rsid w:val="00D306E5"/>
    <w:rsid w:val="00D356F6"/>
    <w:rsid w:val="00D44089"/>
    <w:rsid w:val="00D476A9"/>
    <w:rsid w:val="00D64236"/>
    <w:rsid w:val="00D74732"/>
    <w:rsid w:val="00D81975"/>
    <w:rsid w:val="00DB39CD"/>
    <w:rsid w:val="00DC0B4B"/>
    <w:rsid w:val="00DC53B0"/>
    <w:rsid w:val="00DD1369"/>
    <w:rsid w:val="00DD5999"/>
    <w:rsid w:val="00DF2BE9"/>
    <w:rsid w:val="00DF4536"/>
    <w:rsid w:val="00E003C7"/>
    <w:rsid w:val="00E007FA"/>
    <w:rsid w:val="00E04AD5"/>
    <w:rsid w:val="00E2728C"/>
    <w:rsid w:val="00E30814"/>
    <w:rsid w:val="00E3479B"/>
    <w:rsid w:val="00E71CCE"/>
    <w:rsid w:val="00E73789"/>
    <w:rsid w:val="00E74531"/>
    <w:rsid w:val="00EA2264"/>
    <w:rsid w:val="00EC2CD6"/>
    <w:rsid w:val="00EC4B5F"/>
    <w:rsid w:val="00EF3B69"/>
    <w:rsid w:val="00EF41E7"/>
    <w:rsid w:val="00F11258"/>
    <w:rsid w:val="00F20C2B"/>
    <w:rsid w:val="00F23739"/>
    <w:rsid w:val="00F247EE"/>
    <w:rsid w:val="00F368C7"/>
    <w:rsid w:val="00F61066"/>
    <w:rsid w:val="00F656AD"/>
    <w:rsid w:val="00F65F15"/>
    <w:rsid w:val="00F83216"/>
    <w:rsid w:val="00FA35A5"/>
    <w:rsid w:val="00FC0EA6"/>
    <w:rsid w:val="00FE6B70"/>
    <w:rsid w:val="00FF4269"/>
    <w:rsid w:val="00FF5297"/>
    <w:rsid w:val="00FF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B864"/>
  <w15:chartTrackingRefBased/>
  <w15:docId w15:val="{5B1FC352-168A-4F53-ABCA-722C7BFA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51"/>
  </w:style>
  <w:style w:type="paragraph" w:styleId="Heading1">
    <w:name w:val="heading 1"/>
    <w:basedOn w:val="Normal"/>
    <w:next w:val="Normal"/>
    <w:link w:val="Heading1Char"/>
    <w:uiPriority w:val="9"/>
    <w:qFormat/>
    <w:rsid w:val="00690D51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D51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D51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D51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D51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D51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D51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D5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D5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690D51"/>
    <w:rPr>
      <w:b/>
      <w:bCs/>
      <w:i/>
      <w:iCs/>
      <w:spacing w:val="0"/>
    </w:rPr>
  </w:style>
  <w:style w:type="character" w:styleId="Strong">
    <w:name w:val="Strong"/>
    <w:uiPriority w:val="22"/>
    <w:qFormat/>
    <w:rsid w:val="00690D51"/>
    <w:rPr>
      <w:b/>
      <w:bCs/>
    </w:rPr>
  </w:style>
  <w:style w:type="character" w:styleId="Hyperlink">
    <w:name w:val="Hyperlink"/>
    <w:basedOn w:val="DefaultParagraphFont"/>
    <w:uiPriority w:val="99"/>
    <w:unhideWhenUsed/>
    <w:rsid w:val="00B23521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521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690D51"/>
    <w:rPr>
      <w:caps/>
      <w:color w:val="0D5571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90D51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690D51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0D51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F7E97"/>
    <w:rPr>
      <w:color w:val="739D9B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0D51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90D51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D51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D51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D51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D51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D5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D5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0D51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D5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90D51"/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690D5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0D5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90D5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D51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D51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690D51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690D51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690D51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690D51"/>
    <w:rPr>
      <w:b/>
      <w:bCs/>
      <w:i/>
      <w:iCs/>
      <w:caps/>
      <w:color w:val="1CADE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0D51"/>
    <w:pPr>
      <w:outlineLvl w:val="9"/>
    </w:pPr>
  </w:style>
  <w:style w:type="paragraph" w:styleId="ListParagraph">
    <w:name w:val="List Paragraph"/>
    <w:basedOn w:val="Normal"/>
    <w:uiPriority w:val="34"/>
    <w:qFormat/>
    <w:rsid w:val="00186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8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4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3.xml"/><Relationship Id="rId5" Type="http://schemas.openxmlformats.org/officeDocument/2006/relationships/numbering" Target="numbering.xml"/><Relationship Id="rId10" Type="http://schemas.openxmlformats.org/officeDocument/2006/relationships/chart" Target="charts/chart2.xml"/><Relationship Id="rId4" Type="http://schemas.openxmlformats.org/officeDocument/2006/relationships/customXml" Target="../customXml/item4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naro\Downloads\Unit%209%20Exercises%20-%20Workbooks-20220807\Exe%209.1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naro\Downloads\Unit%209%20Exercises%20-%20Workbooks-20220807\Exe%209.2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naro\Downloads\Unit%209%20Exercises%20-%20Workbooks-20220807\Exe%209.3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nnaro\Downloads\Unit%209%20Exercises%20-%20Workbooks-20220807\Exe%209.3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Area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Sheet1!$D$15:$D$17</c:f>
              <c:strCache>
                <c:ptCount val="3"/>
                <c:pt idx="0">
                  <c:v>A</c:v>
                </c:pt>
                <c:pt idx="1">
                  <c:v>B</c:v>
                </c:pt>
                <c:pt idx="2">
                  <c:v>Other</c:v>
                </c:pt>
              </c:strCache>
            </c:strRef>
          </c:cat>
          <c:val>
            <c:numRef>
              <c:f>Sheet1!$F$15:$F$17</c:f>
              <c:numCache>
                <c:formatCode>#,##0.0</c:formatCode>
                <c:ptCount val="3"/>
                <c:pt idx="0">
                  <c:v>21.111111111111111</c:v>
                </c:pt>
                <c:pt idx="1">
                  <c:v>33.333333333333336</c:v>
                </c:pt>
                <c:pt idx="2">
                  <c:v>45.555555555555557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FBC-4D83-B37A-DD25BEBBC3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92153359"/>
        <c:axId val="1892151695"/>
      </c:barChart>
      <c:catAx>
        <c:axId val="189215335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92151695"/>
        <c:crosses val="autoZero"/>
        <c:auto val="0"/>
        <c:lblAlgn val="ctr"/>
        <c:lblOffset val="100"/>
        <c:noMultiLvlLbl val="0"/>
      </c:catAx>
      <c:valAx>
        <c:axId val="18921516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892153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Location</a:t>
            </a:r>
            <a:r>
              <a:rPr lang="it-IT" baseline="0"/>
              <a:t> A and Location B</a:t>
            </a:r>
            <a:endParaRPr lang="it-IT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Location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Sheet1!$B$13:$B$15</c:f>
              <c:numCache>
                <c:formatCode>#,##0.0</c:formatCode>
                <c:ptCount val="3"/>
                <c:pt idx="0">
                  <c:v>14.285714285714286</c:v>
                </c:pt>
                <c:pt idx="1">
                  <c:v>39.285714285714285</c:v>
                </c:pt>
                <c:pt idx="2">
                  <c:v>46.428571428571431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84-4C36-B0F2-4E47D6D40357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Location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Sheet1!$A$13:$A$15</c:f>
              <c:strCache>
                <c:ptCount val="3"/>
                <c:pt idx="0">
                  <c:v>Absent</c:v>
                </c:pt>
                <c:pt idx="1">
                  <c:v>Sparse</c:v>
                </c:pt>
                <c:pt idx="2">
                  <c:v>Abundant</c:v>
                </c:pt>
              </c:strCache>
            </c:strRef>
          </c:cat>
          <c:val>
            <c:numRef>
              <c:f>Sheet1!$C$13:$C$15</c:f>
              <c:numCache>
                <c:formatCode>#,##0.0</c:formatCode>
                <c:ptCount val="3"/>
                <c:pt idx="0">
                  <c:v>45.454545454545453</c:v>
                </c:pt>
                <c:pt idx="1">
                  <c:v>31.818181818181817</c:v>
                </c:pt>
                <c:pt idx="2">
                  <c:v>22.727272727272727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584-4C36-B0F2-4E47D6D403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94214671"/>
        <c:axId val="994232975"/>
      </c:barChart>
      <c:catAx>
        <c:axId val="99421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232975"/>
        <c:crosses val="autoZero"/>
        <c:auto val="1"/>
        <c:lblAlgn val="ctr"/>
        <c:lblOffset val="100"/>
        <c:noMultiLvlLbl val="0"/>
      </c:catAx>
      <c:valAx>
        <c:axId val="994232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99421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Diet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Diets!$K$41:$K$47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Diets!$L$41:$L$47</c:f>
              <c:numCache>
                <c:formatCode>General</c:formatCode>
                <c:ptCount val="7"/>
                <c:pt idx="0">
                  <c:v>0.06</c:v>
                </c:pt>
                <c:pt idx="1">
                  <c:v>0.2</c:v>
                </c:pt>
                <c:pt idx="2">
                  <c:v>0.3</c:v>
                </c:pt>
                <c:pt idx="3">
                  <c:v>0.22</c:v>
                </c:pt>
                <c:pt idx="4">
                  <c:v>0.16</c:v>
                </c:pt>
                <c:pt idx="5">
                  <c:v>0.04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1-4E31-BEB1-403EF8509C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281277456"/>
        <c:axId val="281277872"/>
      </c:barChart>
      <c:catAx>
        <c:axId val="281277456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81277872"/>
        <c:crosses val="autoZero"/>
        <c:auto val="1"/>
        <c:lblAlgn val="ctr"/>
        <c:lblOffset val="100"/>
        <c:noMultiLvlLbl val="0"/>
      </c:catAx>
      <c:valAx>
        <c:axId val="281277872"/>
        <c:scaling>
          <c:orientation val="minMax"/>
        </c:scaling>
        <c:delete val="0"/>
        <c:axPos val="l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81277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Diet A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191145461656003"/>
          <c:y val="0.35232919254658379"/>
          <c:w val="0.82760723457954855"/>
          <c:h val="0.54343546730571723"/>
        </c:manualLayout>
      </c:layout>
      <c:barChart>
        <c:barDir val="col"/>
        <c:grouping val="clustered"/>
        <c:varyColors val="0"/>
        <c:ser>
          <c:idx val="0"/>
          <c:order val="0"/>
          <c:spPr>
            <a:ln>
              <a:solidFill>
                <a:schemeClr val="tx1"/>
              </a:solidFill>
            </a:ln>
          </c:spPr>
          <c:invertIfNegative val="0"/>
          <c:cat>
            <c:numRef>
              <c:f>Diets!$K$4:$K$10</c:f>
              <c:numCache>
                <c:formatCode>General</c:formatCode>
                <c:ptCount val="7"/>
                <c:pt idx="0">
                  <c:v>-1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7</c:v>
                </c:pt>
                <c:pt idx="5">
                  <c:v>9</c:v>
                </c:pt>
                <c:pt idx="6">
                  <c:v>11</c:v>
                </c:pt>
              </c:numCache>
            </c:numRef>
          </c:cat>
          <c:val>
            <c:numRef>
              <c:f>Diets!$L$4:$L$10</c:f>
              <c:numCache>
                <c:formatCode>0.00</c:formatCode>
                <c:ptCount val="7"/>
                <c:pt idx="0">
                  <c:v>0.02</c:v>
                </c:pt>
                <c:pt idx="1">
                  <c:v>0.06</c:v>
                </c:pt>
                <c:pt idx="2">
                  <c:v>0.2</c:v>
                </c:pt>
                <c:pt idx="3">
                  <c:v>0.3</c:v>
                </c:pt>
                <c:pt idx="4">
                  <c:v>0.3</c:v>
                </c:pt>
                <c:pt idx="5">
                  <c:v>0.1</c:v>
                </c:pt>
                <c:pt idx="6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EF-449D-AE45-4673151D9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224512"/>
        <c:axId val="67326336"/>
      </c:barChart>
      <c:catAx>
        <c:axId val="50224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Weight Loss (kg)</a:t>
                </a:r>
              </a:p>
            </c:rich>
          </c:tx>
          <c:layout>
            <c:manualLayout>
              <c:xMode val="edge"/>
              <c:yMode val="edge"/>
              <c:x val="1.7173256568735616E-3"/>
              <c:y val="0.91771823424984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67326336"/>
        <c:crosses val="autoZero"/>
        <c:auto val="1"/>
        <c:lblAlgn val="ctr"/>
        <c:lblOffset val="100"/>
        <c:noMultiLvlLbl val="0"/>
      </c:catAx>
      <c:valAx>
        <c:axId val="6732633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Relative Frequerncy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50224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869706AEBBA419748622584EBC124" ma:contentTypeVersion="13" ma:contentTypeDescription="Create a new document." ma:contentTypeScope="" ma:versionID="e1864c44399255629b8ea80da1f758dc">
  <xsd:schema xmlns:xsd="http://www.w3.org/2001/XMLSchema" xmlns:xs="http://www.w3.org/2001/XMLSchema" xmlns:p="http://schemas.microsoft.com/office/2006/metadata/properties" xmlns:ns3="ac964a98-2289-42e9-beee-d11bf94aac00" xmlns:ns4="ff623e7e-7b7c-402a-b88d-9a0466c2b2f3" targetNamespace="http://schemas.microsoft.com/office/2006/metadata/properties" ma:root="true" ma:fieldsID="ee72bf9a19a106f25731acfe6166edd2" ns3:_="" ns4:_="">
    <xsd:import namespace="ac964a98-2289-42e9-beee-d11bf94aac00"/>
    <xsd:import namespace="ff623e7e-7b7c-402a-b88d-9a0466c2b2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64a98-2289-42e9-beee-d11bf94aa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23e7e-7b7c-402a-b88d-9a0466c2b2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9F1896-00A7-4061-B8A1-09029843E75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97784A-9708-4389-A79E-3084AA880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964a98-2289-42e9-beee-d11bf94aac00"/>
    <ds:schemaRef ds:uri="ff623e7e-7b7c-402a-b88d-9a0466c2b2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DC21A-83D4-488A-B407-5E7A2668C5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429CA3-3946-4954-9A11-C83EF87695D2}">
  <ds:schemaRefs>
    <ds:schemaRef ds:uri="ac964a98-2289-42e9-beee-d11bf94aac00"/>
    <ds:schemaRef ds:uri="http://purl.org/dc/terms/"/>
    <ds:schemaRef ds:uri="http://purl.org/dc/elements/1.1/"/>
    <ds:schemaRef ds:uri="http://schemas.openxmlformats.org/package/2006/metadata/core-properties"/>
    <ds:schemaRef ds:uri="ff623e7e-7b7c-402a-b88d-9a0466c2b2f3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Coppola</dc:creator>
  <cp:keywords/>
  <dc:description/>
  <cp:lastModifiedBy>Gennaro Coppola</cp:lastModifiedBy>
  <cp:revision>2</cp:revision>
  <dcterms:created xsi:type="dcterms:W3CDTF">2022-08-07T15:28:00Z</dcterms:created>
  <dcterms:modified xsi:type="dcterms:W3CDTF">2022-08-07T15:28:00Z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0x0101002F0869706AEBBA419748622584EBC124</vt:lpwstr>
  </property>
</Properties>
</file>