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color w:val="0B2545"/>
          <w:sz w:val="46"/>
        </w:rPr>
        <w:t>REVVI BOOKING INTEGRATION</w:t>
      </w:r>
    </w:p>
    <w:p>
      <w:pPr>
        <w:spacing w:after="280"/>
      </w:pPr>
      <w:r>
        <w:rPr>
          <w:rFonts w:ascii="Calibri" w:hAnsi="Calibri"/>
          <w:color w:val="5B6573"/>
          <w:sz w:val="28"/>
        </w:rPr>
        <w:t>V1 stakeholder summary</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F2F4F7"/>
          </w:tcPr>
          <w:p>
            <w:pPr>
              <w:spacing w:after="0" w:line="264" w:lineRule="auto"/>
            </w:pPr>
            <w:r>
              <w:rPr>
                <w:rFonts w:ascii="Calibri" w:hAnsi="Calibri"/>
                <w:b/>
                <w:color w:val="1F4D78"/>
                <w:sz w:val="21"/>
              </w:rPr>
              <w:t>Audience</w:t>
            </w:r>
          </w:p>
        </w:tc>
        <w:tc>
          <w:tcPr>
            <w:tcW w:type="dxa" w:w="6660"/>
            <w:tcMar>
              <w:top w:w="80" w:type="dxa"/>
              <w:start w:w="120" w:type="dxa"/>
              <w:bottom w:w="80" w:type="dxa"/>
              <w:end w:w="120" w:type="dxa"/>
            </w:tcMar>
            <w:vAlign w:val="center"/>
          </w:tcPr>
          <w:p>
            <w:pPr>
              <w:spacing w:after="0" w:line="264" w:lineRule="auto"/>
            </w:pPr>
            <w:r>
              <w:rPr>
                <w:rFonts w:ascii="Calibri" w:hAnsi="Calibri"/>
                <w:b w:val="0"/>
                <w:color w:val="0B2545"/>
                <w:sz w:val="21"/>
              </w:rPr>
              <w:t>Revvi stakeholders</w:t>
            </w:r>
          </w:p>
        </w:tc>
      </w:tr>
      <w:tr>
        <w:tc>
          <w:tcPr>
            <w:tcW w:type="dxa" w:w="2700"/>
            <w:tcMar>
              <w:top w:w="80" w:type="dxa"/>
              <w:start w:w="120" w:type="dxa"/>
              <w:bottom w:w="80" w:type="dxa"/>
              <w:end w:w="120" w:type="dxa"/>
            </w:tcMar>
            <w:vAlign w:val="center"/>
            <w:shd w:fill="F2F4F7"/>
          </w:tcPr>
          <w:p>
            <w:pPr>
              <w:spacing w:after="0" w:line="264" w:lineRule="auto"/>
            </w:pPr>
            <w:r>
              <w:rPr>
                <w:rFonts w:ascii="Calibri" w:hAnsi="Calibri"/>
                <w:b/>
                <w:color w:val="1F4D78"/>
                <w:sz w:val="21"/>
              </w:rPr>
              <w:t>Purpose</w:t>
            </w:r>
          </w:p>
        </w:tc>
        <w:tc>
          <w:tcPr>
            <w:tcW w:type="dxa" w:w="6660"/>
            <w:tcMar>
              <w:top w:w="80" w:type="dxa"/>
              <w:start w:w="120" w:type="dxa"/>
              <w:bottom w:w="80" w:type="dxa"/>
              <w:end w:w="120" w:type="dxa"/>
            </w:tcMar>
            <w:vAlign w:val="center"/>
          </w:tcPr>
          <w:p>
            <w:pPr>
              <w:spacing w:after="0" w:line="264" w:lineRule="auto"/>
            </w:pPr>
            <w:r>
              <w:rPr>
                <w:rFonts w:ascii="Calibri" w:hAnsi="Calibri"/>
                <w:b w:val="0"/>
                <w:color w:val="0B2545"/>
                <w:sz w:val="21"/>
              </w:rPr>
              <w:t>Confirm the customer, Business, and operational model for v1</w:t>
            </w:r>
          </w:p>
        </w:tc>
      </w:tr>
      <w:tr>
        <w:tc>
          <w:tcPr>
            <w:tcW w:type="dxa" w:w="2700"/>
            <w:tcMar>
              <w:top w:w="80" w:type="dxa"/>
              <w:start w:w="120" w:type="dxa"/>
              <w:bottom w:w="80" w:type="dxa"/>
              <w:end w:w="120" w:type="dxa"/>
            </w:tcMar>
            <w:vAlign w:val="center"/>
            <w:shd w:fill="F2F4F7"/>
          </w:tcPr>
          <w:p>
            <w:pPr>
              <w:spacing w:after="0" w:line="264" w:lineRule="auto"/>
            </w:pPr>
            <w:r>
              <w:rPr>
                <w:rFonts w:ascii="Calibri" w:hAnsi="Calibri"/>
                <w:b/>
                <w:color w:val="1F4D78"/>
                <w:sz w:val="21"/>
              </w:rPr>
              <w:t>Status</w:t>
            </w:r>
          </w:p>
        </w:tc>
        <w:tc>
          <w:tcPr>
            <w:tcW w:type="dxa" w:w="6660"/>
            <w:tcMar>
              <w:top w:w="80" w:type="dxa"/>
              <w:start w:w="120" w:type="dxa"/>
              <w:bottom w:w="80" w:type="dxa"/>
              <w:end w:w="120" w:type="dxa"/>
            </w:tcMar>
            <w:vAlign w:val="center"/>
          </w:tcPr>
          <w:p>
            <w:pPr>
              <w:spacing w:after="0" w:line="264" w:lineRule="auto"/>
            </w:pPr>
            <w:r>
              <w:rPr>
                <w:rFonts w:ascii="Calibri" w:hAnsi="Calibri"/>
                <w:b w:val="0"/>
                <w:color w:val="0B2545"/>
                <w:sz w:val="21"/>
              </w:rPr>
              <w:t>Planning decisions complete; ready to break into implementation work</w:t>
            </w:r>
          </w:p>
        </w:tc>
      </w:tr>
    </w:tbl>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40"/>
            </w:pPr>
            <w:r>
              <w:rPr>
                <w:rFonts w:ascii="Calibri" w:hAnsi="Calibri"/>
                <w:b/>
                <w:color w:val="1F4D78"/>
                <w:sz w:val="22"/>
              </w:rPr>
              <w:t>The headline</w:t>
            </w:r>
          </w:p>
          <w:p>
            <w:pPr>
              <w:spacing w:after="0" w:line="264" w:lineRule="auto"/>
            </w:pPr>
            <w:r>
              <w:rPr>
                <w:rFonts w:ascii="Calibri" w:hAnsi="Calibri"/>
                <w:color w:val="0B2545"/>
                <w:sz w:val="22"/>
              </w:rPr>
              <w:t>Revvi will provide a responsive, multi-Business booking experience while Mindbody remains the source of truth for services, availability, and completed Bookings. V1 launches as a controlled pilot, with each Business enabled only after its connection and customer journey are verified.</w:t>
            </w:r>
          </w:p>
        </w:tc>
      </w:tr>
    </w:tbl>
    <w:p>
      <w:pPr>
        <w:pStyle w:val="Heading1"/>
      </w:pPr>
      <w:r>
        <w:t>What V1 delivers</w:t>
      </w:r>
    </w:p>
    <w:p>
      <w:r>
        <w:t>V1 is a responsive Revvi web experience for authenticated Revvi Customers. It supports a single-session Booking journey across multiple independently configured Businesses and their selected Locations.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80" w:type="dxa"/>
              <w:start w:w="120" w:type="dxa"/>
              <w:bottom w:w="80" w:type="dxa"/>
              <w:end w:w="120" w:type="dxa"/>
            </w:tcMar>
            <w:vAlign w:val="center"/>
            <w:shd w:fill="F2F4F7"/>
          </w:tcPr>
          <w:p>
            <w:pPr>
              <w:spacing w:after="0" w:line="264" w:lineRule="auto"/>
            </w:pPr>
            <w:r>
              <w:rPr>
                <w:rFonts w:ascii="Calibri" w:hAnsi="Calibri"/>
                <w:b/>
                <w:color w:val="1F4D78"/>
                <w:sz w:val="20"/>
              </w:rPr>
              <w:t>Stakeholder</w:t>
            </w:r>
          </w:p>
        </w:tc>
        <w:tc>
          <w:tcPr>
            <w:tcW w:type="dxa" w:w="7260"/>
            <w:tcMar>
              <w:top w:w="80" w:type="dxa"/>
              <w:start w:w="120" w:type="dxa"/>
              <w:bottom w:w="80" w:type="dxa"/>
              <w:end w:w="120" w:type="dxa"/>
            </w:tcMar>
            <w:vAlign w:val="center"/>
            <w:shd w:fill="F2F4F7"/>
          </w:tcPr>
          <w:p>
            <w:pPr>
              <w:spacing w:after="0" w:line="264" w:lineRule="auto"/>
            </w:pPr>
            <w:r>
              <w:rPr>
                <w:rFonts w:ascii="Calibri" w:hAnsi="Calibri"/>
                <w:b/>
                <w:color w:val="1F4D78"/>
                <w:sz w:val="20"/>
              </w:rPr>
              <w:t>What they receive</w:t>
            </w:r>
          </w:p>
        </w:tc>
      </w:tr>
      <w:tr>
        <w:tc>
          <w:tcPr>
            <w:tcW w:type="dxa" w:w="2100"/>
          </w:tcPr>
          <w:p>
            <w:pPr>
              <w:spacing w:after="0" w:line="264" w:lineRule="auto"/>
            </w:pPr>
            <w:r>
              <w:rPr>
                <w:rFonts w:ascii="Calibri" w:hAnsi="Calibri"/>
                <w:b w:val="0"/>
                <w:color w:val="0B2545"/>
                <w:sz w:val="21"/>
              </w:rPr>
              <w:t>Revvi Customer</w:t>
            </w:r>
          </w:p>
        </w:tc>
        <w:tc>
          <w:tcPr>
            <w:tcW w:type="dxa" w:w="7260"/>
          </w:tcPr>
          <w:p>
            <w:pPr>
              <w:spacing w:after="0" w:line="264" w:lineRule="auto"/>
            </w:pPr>
            <w:r>
              <w:rPr>
                <w:rFonts w:ascii="Calibri" w:hAnsi="Calibri"/>
                <w:b w:val="0"/>
                <w:color w:val="0B2545"/>
                <w:sz w:val="21"/>
              </w:rPr>
              <w:t>A clear mobile-friendly path from service selection to a confirmed Booking.</w:t>
            </w:r>
          </w:p>
        </w:tc>
      </w:tr>
      <w:tr>
        <w:tc>
          <w:tcPr>
            <w:tcW w:type="dxa" w:w="2100"/>
          </w:tcPr>
          <w:p>
            <w:pPr>
              <w:spacing w:after="0" w:line="264" w:lineRule="auto"/>
            </w:pPr>
            <w:r>
              <w:rPr>
                <w:rFonts w:ascii="Calibri" w:hAnsi="Calibri"/>
                <w:b w:val="0"/>
                <w:color w:val="0B2545"/>
                <w:sz w:val="21"/>
              </w:rPr>
              <w:t>Business</w:t>
            </w:r>
          </w:p>
        </w:tc>
        <w:tc>
          <w:tcPr>
            <w:tcW w:type="dxa" w:w="7260"/>
          </w:tcPr>
          <w:p>
            <w:pPr>
              <w:spacing w:after="0" w:line="264" w:lineRule="auto"/>
            </w:pPr>
            <w:r>
              <w:rPr>
                <w:rFonts w:ascii="Calibri" w:hAnsi="Calibri"/>
                <w:b w:val="0"/>
                <w:color w:val="0B2545"/>
                <w:sz w:val="21"/>
              </w:rPr>
              <w:t>A Revvi-managed connection to its Mindbody Site, with selected Locations and customer-facing brand settings.</w:t>
            </w:r>
          </w:p>
        </w:tc>
      </w:tr>
      <w:tr>
        <w:tc>
          <w:tcPr>
            <w:tcW w:type="dxa" w:w="2100"/>
          </w:tcPr>
          <w:p>
            <w:pPr>
              <w:spacing w:after="0" w:line="264" w:lineRule="auto"/>
            </w:pPr>
            <w:r>
              <w:rPr>
                <w:rFonts w:ascii="Calibri" w:hAnsi="Calibri"/>
                <w:b w:val="0"/>
                <w:color w:val="0B2545"/>
                <w:sz w:val="21"/>
              </w:rPr>
              <w:t>Revvi operations</w:t>
            </w:r>
          </w:p>
        </w:tc>
        <w:tc>
          <w:tcPr>
            <w:tcW w:type="dxa" w:w="7260"/>
          </w:tcPr>
          <w:p>
            <w:pPr>
              <w:spacing w:after="0" w:line="264" w:lineRule="auto"/>
            </w:pPr>
            <w:r>
              <w:rPr>
                <w:rFonts w:ascii="Calibri" w:hAnsi="Calibri"/>
                <w:b w:val="0"/>
                <w:color w:val="0B2545"/>
                <w:sz w:val="21"/>
              </w:rPr>
              <w:t>A controlled onboarding, readiness, and support model for every Business.</w:t>
            </w:r>
          </w:p>
        </w:tc>
      </w:tr>
    </w:tbl>
    <w:p>
      <w:pPr>
        <w:spacing w:after="0"/>
      </w:pPr>
    </w:p>
    <w:p>
      <w:pPr>
        <w:pStyle w:val="Heading2"/>
      </w:pPr>
      <w:r>
        <w:t>The customer experience</w:t>
      </w:r>
    </w:p>
    <w:p>
      <w:pPr>
        <w:pStyle w:val="ListBullet"/>
        <w:spacing w:after="160" w:line="280" w:lineRule="auto"/>
      </w:pPr>
      <w:r>
        <w:t>A signed-in Revvi Customer arrives with Business and Location context already selected.</w:t>
      </w:r>
    </w:p>
    <w:p>
      <w:pPr>
        <w:pStyle w:val="ListBullet"/>
        <w:spacing w:after="160" w:line="280" w:lineRule="auto"/>
      </w:pPr>
      <w:r>
        <w:t>They choose a service, then see live Mindbody availability for that Location.</w:t>
      </w:r>
    </w:p>
    <w:p>
      <w:pPr>
        <w:pStyle w:val="ListBullet"/>
        <w:spacing w:after="160" w:line="280" w:lineRule="auto"/>
      </w:pPr>
      <w:r>
        <w:t>They select a time, review the service, time, duration, and price, then continue to checkout when it is enabled for that Business.</w:t>
      </w:r>
    </w:p>
    <w:p>
      <w:pPr>
        <w:pStyle w:val="ListBullet"/>
        <w:spacing w:after="160" w:line="280" w:lineRule="auto"/>
      </w:pPr>
      <w:r>
        <w:t>Revvi confirms the Booking only after Mindbody returns an authoritative successful result. If a selected time is no longer available, Revvi refreshes availability rather than choosing an alternative.</w:t>
      </w:r>
    </w:p>
    <w:p>
      <w:pPr>
        <w:pStyle w:val="ListBullet"/>
        <w:spacing w:after="160" w:line="280" w:lineRule="auto"/>
      </w:pPr>
      <w:r>
        <w:t>Mindbody remains responsible for its transactional messages. Revvi shows the immediate confirmation in its own experience.</w:t>
      </w:r>
    </w:p>
    <w:p>
      <w:pPr>
        <w:pStyle w:val="Heading1"/>
      </w:pPr>
      <w:r>
        <w:t>How Businesses are onboarded and protected</w:t>
      </w:r>
    </w:p>
    <w:p>
      <w:r>
        <w:t>Each Business is an isolated Revvi tenant. The Business authorises Revvi through Mindbody Site Activation; Revvi staff then verify the connection and configure what the customer can see.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F2F4F7"/>
          </w:tcPr>
          <w:p>
            <w:pPr>
              <w:spacing w:after="0" w:line="264" w:lineRule="auto"/>
            </w:pPr>
            <w:r>
              <w:rPr>
                <w:rFonts w:ascii="Calibri" w:hAnsi="Calibri"/>
                <w:b/>
                <w:color w:val="1F4D78"/>
                <w:sz w:val="20"/>
              </w:rPr>
              <w:t>Onboarding step</w:t>
            </w:r>
          </w:p>
        </w:tc>
        <w:tc>
          <w:tcPr>
            <w:tcW w:type="dxa" w:w="6660"/>
            <w:tcMar>
              <w:top w:w="80" w:type="dxa"/>
              <w:start w:w="120" w:type="dxa"/>
              <w:bottom w:w="80" w:type="dxa"/>
              <w:end w:w="120" w:type="dxa"/>
            </w:tcMar>
            <w:vAlign w:val="center"/>
            <w:shd w:fill="F2F4F7"/>
          </w:tcPr>
          <w:p>
            <w:pPr>
              <w:spacing w:after="0" w:line="264" w:lineRule="auto"/>
            </w:pPr>
            <w:r>
              <w:rPr>
                <w:rFonts w:ascii="Calibri" w:hAnsi="Calibri"/>
                <w:b/>
                <w:color w:val="1F4D78"/>
                <w:sz w:val="20"/>
              </w:rPr>
              <w:t>Outcome</w:t>
            </w:r>
          </w:p>
        </w:tc>
      </w:tr>
      <w:tr>
        <w:tc>
          <w:tcPr>
            <w:tcW w:type="dxa" w:w="2700"/>
          </w:tcPr>
          <w:p>
            <w:pPr>
              <w:spacing w:after="0" w:line="264" w:lineRule="auto"/>
            </w:pPr>
            <w:r>
              <w:rPr>
                <w:rFonts w:ascii="Calibri" w:hAnsi="Calibri"/>
                <w:b w:val="0"/>
                <w:color w:val="0B2545"/>
                <w:sz w:val="21"/>
              </w:rPr>
              <w:t>Site Activation</w:t>
            </w:r>
          </w:p>
        </w:tc>
        <w:tc>
          <w:tcPr>
            <w:tcW w:type="dxa" w:w="6660"/>
          </w:tcPr>
          <w:p>
            <w:pPr>
              <w:spacing w:after="0" w:line="264" w:lineRule="auto"/>
            </w:pPr>
            <w:r>
              <w:rPr>
                <w:rFonts w:ascii="Calibri" w:hAnsi="Calibri"/>
                <w:b w:val="0"/>
                <w:color w:val="0B2545"/>
                <w:sz w:val="21"/>
              </w:rPr>
              <w:t>Revvi records and verifies the Business connection without collecting Business credentials.</w:t>
            </w:r>
          </w:p>
        </w:tc>
      </w:tr>
      <w:tr>
        <w:tc>
          <w:tcPr>
            <w:tcW w:type="dxa" w:w="2700"/>
          </w:tcPr>
          <w:p>
            <w:pPr>
              <w:spacing w:after="0" w:line="264" w:lineRule="auto"/>
            </w:pPr>
            <w:r>
              <w:rPr>
                <w:rFonts w:ascii="Calibri" w:hAnsi="Calibri"/>
                <w:b w:val="0"/>
                <w:color w:val="0B2545"/>
                <w:sz w:val="21"/>
              </w:rPr>
              <w:t>Location and catalogue selection</w:t>
            </w:r>
          </w:p>
        </w:tc>
        <w:tc>
          <w:tcPr>
            <w:tcW w:type="dxa" w:w="6660"/>
          </w:tcPr>
          <w:p>
            <w:pPr>
              <w:spacing w:after="0" w:line="264" w:lineRule="auto"/>
            </w:pPr>
            <w:r>
              <w:rPr>
                <w:rFonts w:ascii="Calibri" w:hAnsi="Calibri"/>
                <w:b w:val="0"/>
                <w:color w:val="0B2545"/>
                <w:sz w:val="21"/>
              </w:rPr>
              <w:t>Only approved Mindbody Locations and services are exposed through Revvi.</w:t>
            </w:r>
          </w:p>
        </w:tc>
      </w:tr>
      <w:tr>
        <w:tc>
          <w:tcPr>
            <w:tcW w:type="dxa" w:w="2700"/>
          </w:tcPr>
          <w:p>
            <w:pPr>
              <w:spacing w:after="0" w:line="264" w:lineRule="auto"/>
            </w:pPr>
            <w:r>
              <w:rPr>
                <w:rFonts w:ascii="Calibri" w:hAnsi="Calibri"/>
                <w:b w:val="0"/>
                <w:color w:val="0B2545"/>
                <w:sz w:val="21"/>
              </w:rPr>
              <w:t>Brand configuration</w:t>
            </w:r>
          </w:p>
        </w:tc>
        <w:tc>
          <w:tcPr>
            <w:tcW w:type="dxa" w:w="6660"/>
          </w:tcPr>
          <w:p>
            <w:pPr>
              <w:spacing w:after="0" w:line="264" w:lineRule="auto"/>
            </w:pPr>
            <w:r>
              <w:rPr>
                <w:rFonts w:ascii="Calibri" w:hAnsi="Calibri"/>
                <w:b w:val="0"/>
                <w:color w:val="0B2545"/>
                <w:sz w:val="21"/>
              </w:rPr>
              <w:t>Revvi sets the Business display name, logo, colours, and support contact for the v1 experience.</w:t>
            </w:r>
          </w:p>
        </w:tc>
      </w:tr>
      <w:tr>
        <w:tc>
          <w:tcPr>
            <w:tcW w:type="dxa" w:w="2700"/>
          </w:tcPr>
          <w:p>
            <w:pPr>
              <w:spacing w:after="0" w:line="264" w:lineRule="auto"/>
            </w:pPr>
            <w:r>
              <w:rPr>
                <w:rFonts w:ascii="Calibri" w:hAnsi="Calibri"/>
                <w:b w:val="0"/>
                <w:color w:val="0B2545"/>
                <w:sz w:val="21"/>
              </w:rPr>
              <w:t>Readiness check</w:t>
            </w:r>
          </w:p>
        </w:tc>
        <w:tc>
          <w:tcPr>
            <w:tcW w:type="dxa" w:w="6660"/>
          </w:tcPr>
          <w:p>
            <w:pPr>
              <w:spacing w:after="0" w:line="264" w:lineRule="auto"/>
            </w:pPr>
            <w:r>
              <w:rPr>
                <w:rFonts w:ascii="Calibri" w:hAnsi="Calibri"/>
                <w:b w:val="0"/>
                <w:color w:val="0B2545"/>
                <w:sz w:val="21"/>
              </w:rPr>
              <w:t>Revvi confirms the connection, live availability, customer mapping, and controlled journey before activation.</w:t>
            </w:r>
          </w:p>
        </w:tc>
      </w:tr>
    </w:tbl>
    <w:p>
      <w:pPr>
        <w:spacing w:after="0"/>
      </w:pPr>
    </w:p>
    <w:p>
      <w:r>
        <w:br w:type="page"/>
      </w:r>
    </w:p>
    <w:p>
      <w:pPr>
        <w:pStyle w:val="Heading1"/>
      </w:pPr>
      <w:r>
        <w:t>Reliable bookings, clear ownership</w:t>
      </w:r>
    </w:p>
    <w:p>
      <w:r>
        <w:t>Mindbody is the source of truth for services, live availability, and completed Bookings. Revvi manages the customer experience and a secure operational record of the journey.</w:t>
      </w:r>
    </w:p>
    <w:tbl>
      <w:tblPr>
        <w:tblStyle w:val="TableGrid"/>
        <w:tblW w:type="dxa" w:w="9360"/>
        <w:jc w:val="left"/>
        <w:tblLayout w:type="fixed"/>
        <w:tblLook w:firstColumn="1" w:firstRow="1" w:lastColumn="0" w:lastRow="0" w:noHBand="0" w:noVBand="1" w:val="04A0"/>
        <w:tblInd w:w="120" w:type="dxa"/>
      </w:tblPr>
      <w:tblGrid>
        <w:gridCol w:w="2250"/>
        <w:gridCol w:w="7110"/>
      </w:tblGrid>
      <w:tr>
        <w:trPr>
          <w:tblHeader w:val="true"/>
        </w:trPr>
        <w:tc>
          <w:tcPr>
            <w:tcW w:type="dxa" w:w="2250"/>
            <w:tcMar>
              <w:top w:w="80" w:type="dxa"/>
              <w:start w:w="120" w:type="dxa"/>
              <w:bottom w:w="80" w:type="dxa"/>
              <w:end w:w="120" w:type="dxa"/>
            </w:tcMar>
            <w:vAlign w:val="center"/>
            <w:shd w:fill="F2F4F7"/>
          </w:tcPr>
          <w:p>
            <w:pPr>
              <w:spacing w:after="0" w:line="264" w:lineRule="auto"/>
            </w:pPr>
            <w:r>
              <w:rPr>
                <w:rFonts w:ascii="Calibri" w:hAnsi="Calibri"/>
                <w:b/>
                <w:color w:val="1F4D78"/>
                <w:sz w:val="20"/>
              </w:rPr>
              <w:t>Area</w:t>
            </w:r>
          </w:p>
        </w:tc>
        <w:tc>
          <w:tcPr>
            <w:tcW w:type="dxa" w:w="7110"/>
            <w:tcMar>
              <w:top w:w="80" w:type="dxa"/>
              <w:start w:w="120" w:type="dxa"/>
              <w:bottom w:w="80" w:type="dxa"/>
              <w:end w:w="120" w:type="dxa"/>
            </w:tcMar>
            <w:vAlign w:val="center"/>
            <w:shd w:fill="F2F4F7"/>
          </w:tcPr>
          <w:p>
            <w:pPr>
              <w:spacing w:after="0" w:line="264" w:lineRule="auto"/>
            </w:pPr>
            <w:r>
              <w:rPr>
                <w:rFonts w:ascii="Calibri" w:hAnsi="Calibri"/>
                <w:b/>
                <w:color w:val="1F4D78"/>
                <w:sz w:val="20"/>
              </w:rPr>
              <w:t>V1 decision</w:t>
            </w:r>
          </w:p>
        </w:tc>
      </w:tr>
      <w:tr>
        <w:tc>
          <w:tcPr>
            <w:tcW w:type="dxa" w:w="2250"/>
          </w:tcPr>
          <w:p>
            <w:pPr>
              <w:spacing w:after="0" w:line="264" w:lineRule="auto"/>
            </w:pPr>
            <w:r>
              <w:rPr>
                <w:rFonts w:ascii="Calibri" w:hAnsi="Calibri"/>
                <w:b w:val="0"/>
                <w:color w:val="0B2545"/>
                <w:sz w:val="21"/>
              </w:rPr>
              <w:t>Booking state</w:t>
            </w:r>
          </w:p>
        </w:tc>
        <w:tc>
          <w:tcPr>
            <w:tcW w:type="dxa" w:w="7110"/>
          </w:tcPr>
          <w:p>
            <w:pPr>
              <w:spacing w:after="0" w:line="264" w:lineRule="auto"/>
            </w:pPr>
            <w:r>
              <w:rPr>
                <w:rFonts w:ascii="Calibri" w:hAnsi="Calibri"/>
                <w:b w:val="0"/>
                <w:color w:val="0B2545"/>
                <w:sz w:val="21"/>
              </w:rPr>
              <w:t>A Booking attempt stays in progress until Mindbody confirms success. This prevents a provisional appointment from being presented as a confirmed Booking.</w:t>
            </w:r>
          </w:p>
        </w:tc>
      </w:tr>
      <w:tr>
        <w:tc>
          <w:tcPr>
            <w:tcW w:type="dxa" w:w="2250"/>
          </w:tcPr>
          <w:p>
            <w:pPr>
              <w:spacing w:after="0" w:line="264" w:lineRule="auto"/>
            </w:pPr>
            <w:r>
              <w:rPr>
                <w:rFonts w:ascii="Calibri" w:hAnsi="Calibri"/>
                <w:b w:val="0"/>
                <w:color w:val="0B2545"/>
                <w:sz w:val="21"/>
              </w:rPr>
              <w:t>Duplicate protection</w:t>
            </w:r>
          </w:p>
        </w:tc>
        <w:tc>
          <w:tcPr>
            <w:tcW w:type="dxa" w:w="7110"/>
          </w:tcPr>
          <w:p>
            <w:pPr>
              <w:spacing w:after="0" w:line="264" w:lineRule="auto"/>
            </w:pPr>
            <w:r>
              <w:rPr>
                <w:rFonts w:ascii="Calibri" w:hAnsi="Calibri"/>
                <w:b w:val="0"/>
                <w:color w:val="0B2545"/>
                <w:sz w:val="21"/>
              </w:rPr>
              <w:t>Each attempt has a stable identifier and server-controlled processing, so repeated taps or refreshes cannot create duplicate bookings or checkout actions.</w:t>
            </w:r>
          </w:p>
        </w:tc>
      </w:tr>
      <w:tr>
        <w:tc>
          <w:tcPr>
            <w:tcW w:type="dxa" w:w="2250"/>
          </w:tcPr>
          <w:p>
            <w:pPr>
              <w:spacing w:after="0" w:line="264" w:lineRule="auto"/>
            </w:pPr>
            <w:r>
              <w:rPr>
                <w:rFonts w:ascii="Calibri" w:hAnsi="Calibri"/>
                <w:b w:val="0"/>
                <w:color w:val="0B2545"/>
                <w:sz w:val="21"/>
              </w:rPr>
              <w:t>Payment and SCA</w:t>
            </w:r>
          </w:p>
        </w:tc>
        <w:tc>
          <w:tcPr>
            <w:tcW w:type="dxa" w:w="7110"/>
          </w:tcPr>
          <w:p>
            <w:pPr>
              <w:spacing w:after="0" w:line="264" w:lineRule="auto"/>
            </w:pPr>
            <w:r>
              <w:rPr>
                <w:rFonts w:ascii="Calibri" w:hAnsi="Calibri"/>
                <w:b w:val="0"/>
                <w:color w:val="0B2545"/>
                <w:sz w:val="21"/>
              </w:rPr>
              <w:t>Payment is feature-gated per Business. Where a bank challenge applies, the journey stays pending and resumes with the same attempt; a callback alone is not confirmation.</w:t>
            </w:r>
          </w:p>
        </w:tc>
      </w:tr>
      <w:tr>
        <w:tc>
          <w:tcPr>
            <w:tcW w:type="dxa" w:w="2250"/>
          </w:tcPr>
          <w:p>
            <w:pPr>
              <w:spacing w:after="0" w:line="264" w:lineRule="auto"/>
            </w:pPr>
            <w:r>
              <w:rPr>
                <w:rFonts w:ascii="Calibri" w:hAnsi="Calibri"/>
                <w:b w:val="0"/>
                <w:color w:val="0B2545"/>
                <w:sz w:val="21"/>
              </w:rPr>
              <w:t>Uncertain outcomes</w:t>
            </w:r>
          </w:p>
        </w:tc>
        <w:tc>
          <w:tcPr>
            <w:tcW w:type="dxa" w:w="7110"/>
          </w:tcPr>
          <w:p>
            <w:pPr>
              <w:spacing w:after="0" w:line="264" w:lineRule="auto"/>
            </w:pPr>
            <w:r>
              <w:rPr>
                <w:rFonts w:ascii="Calibri" w:hAnsi="Calibri"/>
                <w:b w:val="0"/>
                <w:color w:val="0B2545"/>
                <w:sz w:val="21"/>
              </w:rPr>
              <w:t>A timeout or unknown result is reconciled against Mindbody before any repeat checkout. Revvi does not automatically cancel Mindbody appointments in V1.</w:t>
            </w:r>
          </w:p>
        </w:tc>
      </w:tr>
    </w:tbl>
    <w:p>
      <w:pPr>
        <w:spacing w:after="0"/>
      </w:pPr>
    </w:p>
    <w:p>
      <w:pPr>
        <w:pStyle w:val="Heading2"/>
      </w:pPr>
      <w:r>
        <w:t>Data and tenant isolation</w:t>
      </w:r>
    </w:p>
    <w:p>
      <w:pPr>
        <w:pStyle w:val="ListBullet"/>
        <w:spacing w:after="160" w:line="280" w:lineRule="auto"/>
      </w:pPr>
      <w:r>
        <w:t>Revvi keeps a tenant-scoped operational ledger in Supabase for Business configuration, readiness, Mindbody Client mappings, Booking attempts, and redacted operational history.</w:t>
      </w:r>
    </w:p>
    <w:p>
      <w:pPr>
        <w:pStyle w:val="ListBullet"/>
        <w:spacing w:after="160" w:line="280" w:lineRule="auto"/>
      </w:pPr>
      <w:r>
        <w:t>Every tenant record is tied to its Business, with database controls enforcing the boundary between Businesses.</w:t>
      </w:r>
    </w:p>
    <w:p>
      <w:pPr>
        <w:pStyle w:val="ListBullet"/>
        <w:spacing w:after="160" w:line="280" w:lineRule="auto"/>
      </w:pPr>
      <w:r>
        <w:t>Mindbody API calls occur only through Revvi server-side functions. Browser users never supply a Mindbody Site ID or receive Revvi credentials.</w:t>
      </w:r>
    </w:p>
    <w:p>
      <w:pPr>
        <w:pStyle w:val="ListBullet"/>
        <w:spacing w:after="160" w:line="280" w:lineRule="auto"/>
      </w:pPr>
      <w:r>
        <w:t>Revvi does not copy or overwrite Mindbody customer profiles. An ambiguous customer match is routed to staff support.</w:t>
      </w:r>
    </w:p>
    <w:p>
      <w:pPr>
        <w:pStyle w:val="Heading1"/>
      </w:pPr>
      <w:r>
        <w:t>Payment and messages: the V1 boundary</w:t>
      </w:r>
    </w:p>
    <w:p>
      <w:r>
        <w:t>Mindbody supports the core multi-Business model, live availability, customer mapping, and one-off appointment Booking. The exact paid-checkout route and the degree of control over Mindbody message branding are not assumed.</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6"/>
          </w:tcPr>
          <w:p>
            <w:r>
              <w:rPr>
                <w:rFonts w:ascii="Calibri" w:hAnsi="Calibri"/>
                <w:b/>
                <w:color w:val="7A5A00"/>
                <w:sz w:val="22"/>
              </w:rPr>
              <w:t xml:space="preserve">Important V1 guardrail: </w:t>
            </w:r>
            <w:r>
              <w:rPr>
                <w:rFonts w:ascii="Calibri" w:hAnsi="Calibri"/>
                <w:color w:val="0B2545"/>
                <w:sz w:val="22"/>
              </w:rPr>
              <w:t>Revvi will never collect, log, or store card numbers or security codes. A Business can offer paid checkout only after its supported Mindbody payment path is validated. If that validation is not available, the booking journey remains available but paid checkout stays disabled by configuration.</w:t>
            </w:r>
          </w:p>
        </w:tc>
      </w:tr>
    </w:tbl>
    <w:p>
      <w:r>
        <w:br w:type="page"/>
      </w:r>
    </w:p>
    <w:p>
      <w:pPr>
        <w:pStyle w:val="Heading1"/>
      </w:pPr>
      <w:r>
        <w:t>Pilot launch and service assurance</w:t>
      </w:r>
    </w:p>
    <w:p>
      <w:r>
        <w:t>V1 will start as a staff-controlled pilot. Revvi enables one approved Business at a time through a tenant-level feature flag, so issues can be contained without affecting other Businesses.</w:t>
      </w:r>
    </w:p>
    <w:p>
      <w:pPr>
        <w:pStyle w:val="Heading2"/>
      </w:pPr>
      <w:r>
        <w:t>Before a Business accepts Bookings</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trPr>
        <w:tc>
          <w:tcPr>
            <w:tcW w:type="dxa" w:w="3300"/>
            <w:tcMar>
              <w:top w:w="80" w:type="dxa"/>
              <w:start w:w="120" w:type="dxa"/>
              <w:bottom w:w="80" w:type="dxa"/>
              <w:end w:w="120" w:type="dxa"/>
            </w:tcMar>
            <w:vAlign w:val="center"/>
            <w:shd w:fill="F2F4F7"/>
          </w:tcPr>
          <w:p>
            <w:pPr>
              <w:spacing w:after="0" w:line="264" w:lineRule="auto"/>
            </w:pPr>
            <w:r>
              <w:rPr>
                <w:rFonts w:ascii="Calibri" w:hAnsi="Calibri"/>
                <w:b/>
                <w:color w:val="1F4D78"/>
                <w:sz w:val="20"/>
              </w:rPr>
              <w:t>Required evidence</w:t>
            </w:r>
          </w:p>
        </w:tc>
        <w:tc>
          <w:tcPr>
            <w:tcW w:type="dxa" w:w="6060"/>
            <w:tcMar>
              <w:top w:w="80" w:type="dxa"/>
              <w:start w:w="120" w:type="dxa"/>
              <w:bottom w:w="80" w:type="dxa"/>
              <w:end w:w="120" w:type="dxa"/>
            </w:tcMar>
            <w:vAlign w:val="center"/>
            <w:shd w:fill="F2F4F7"/>
          </w:tcPr>
          <w:p>
            <w:pPr>
              <w:spacing w:after="0" w:line="264" w:lineRule="auto"/>
            </w:pPr>
            <w:r>
              <w:rPr>
                <w:rFonts w:ascii="Calibri" w:hAnsi="Calibri"/>
                <w:b/>
                <w:color w:val="1F4D78"/>
                <w:sz w:val="20"/>
              </w:rPr>
              <w:t>Why it matters</w:t>
            </w:r>
          </w:p>
        </w:tc>
      </w:tr>
      <w:tr>
        <w:tc>
          <w:tcPr>
            <w:tcW w:type="dxa" w:w="3300"/>
          </w:tcPr>
          <w:p>
            <w:pPr>
              <w:spacing w:after="0" w:line="264" w:lineRule="auto"/>
            </w:pPr>
            <w:r>
              <w:rPr>
                <w:rFonts w:ascii="Calibri" w:hAnsi="Calibri"/>
                <w:b w:val="0"/>
                <w:color w:val="0B2545"/>
                <w:sz w:val="21"/>
              </w:rPr>
              <w:t>Verified Site Activation</w:t>
            </w:r>
          </w:p>
        </w:tc>
        <w:tc>
          <w:tcPr>
            <w:tcW w:type="dxa" w:w="6060"/>
          </w:tcPr>
          <w:p>
            <w:pPr>
              <w:spacing w:after="0" w:line="264" w:lineRule="auto"/>
            </w:pPr>
            <w:r>
              <w:rPr>
                <w:rFonts w:ascii="Calibri" w:hAnsi="Calibri"/>
                <w:b w:val="0"/>
                <w:color w:val="0B2545"/>
                <w:sz w:val="21"/>
              </w:rPr>
              <w:t>Confirms Revvi can access the correct Mindbody Business and Site.</w:t>
            </w:r>
          </w:p>
        </w:tc>
      </w:tr>
      <w:tr>
        <w:tc>
          <w:tcPr>
            <w:tcW w:type="dxa" w:w="3300"/>
          </w:tcPr>
          <w:p>
            <w:pPr>
              <w:spacing w:after="0" w:line="264" w:lineRule="auto"/>
            </w:pPr>
            <w:r>
              <w:rPr>
                <w:rFonts w:ascii="Calibri" w:hAnsi="Calibri"/>
                <w:b w:val="0"/>
                <w:color w:val="0B2545"/>
                <w:sz w:val="21"/>
              </w:rPr>
              <w:t>Location and service mapping</w:t>
            </w:r>
          </w:p>
        </w:tc>
        <w:tc>
          <w:tcPr>
            <w:tcW w:type="dxa" w:w="6060"/>
          </w:tcPr>
          <w:p>
            <w:pPr>
              <w:spacing w:after="0" w:line="264" w:lineRule="auto"/>
            </w:pPr>
            <w:r>
              <w:rPr>
                <w:rFonts w:ascii="Calibri" w:hAnsi="Calibri"/>
                <w:b w:val="0"/>
                <w:color w:val="0B2545"/>
                <w:sz w:val="21"/>
              </w:rPr>
              <w:t>Confirms the customer sees the intended catalogue and Locations.</w:t>
            </w:r>
          </w:p>
        </w:tc>
      </w:tr>
      <w:tr>
        <w:tc>
          <w:tcPr>
            <w:tcW w:type="dxa" w:w="3300"/>
          </w:tcPr>
          <w:p>
            <w:pPr>
              <w:spacing w:after="0" w:line="264" w:lineRule="auto"/>
            </w:pPr>
            <w:r>
              <w:rPr>
                <w:rFonts w:ascii="Calibri" w:hAnsi="Calibri"/>
                <w:b w:val="0"/>
                <w:color w:val="0B2545"/>
                <w:sz w:val="21"/>
              </w:rPr>
              <w:t>Customer-to-Client mapping check</w:t>
            </w:r>
          </w:p>
        </w:tc>
        <w:tc>
          <w:tcPr>
            <w:tcW w:type="dxa" w:w="6060"/>
          </w:tcPr>
          <w:p>
            <w:pPr>
              <w:spacing w:after="0" w:line="264" w:lineRule="auto"/>
            </w:pPr>
            <w:r>
              <w:rPr>
                <w:rFonts w:ascii="Calibri" w:hAnsi="Calibri"/>
                <w:b w:val="0"/>
                <w:color w:val="0B2545"/>
                <w:sz w:val="21"/>
              </w:rPr>
              <w:t>Confirms the correct Mindbody Client is found or created safely.</w:t>
            </w:r>
          </w:p>
        </w:tc>
      </w:tr>
      <w:tr>
        <w:tc>
          <w:tcPr>
            <w:tcW w:type="dxa" w:w="3300"/>
          </w:tcPr>
          <w:p>
            <w:pPr>
              <w:spacing w:after="0" w:line="264" w:lineRule="auto"/>
            </w:pPr>
            <w:r>
              <w:rPr>
                <w:rFonts w:ascii="Calibri" w:hAnsi="Calibri"/>
                <w:b w:val="0"/>
                <w:color w:val="0B2545"/>
                <w:sz w:val="21"/>
              </w:rPr>
              <w:t>Controlled end-to-end test</w:t>
            </w:r>
          </w:p>
        </w:tc>
        <w:tc>
          <w:tcPr>
            <w:tcW w:type="dxa" w:w="6060"/>
          </w:tcPr>
          <w:p>
            <w:pPr>
              <w:spacing w:after="0" w:line="264" w:lineRule="auto"/>
            </w:pPr>
            <w:r>
              <w:rPr>
                <w:rFonts w:ascii="Calibri" w:hAnsi="Calibri"/>
                <w:b w:val="0"/>
                <w:color w:val="0B2545"/>
                <w:sz w:val="21"/>
              </w:rPr>
              <w:t>Confirms the real Business configuration, availability, and enabled checkout path work together.</w:t>
            </w:r>
          </w:p>
        </w:tc>
      </w:tr>
      <w:tr>
        <w:tc>
          <w:tcPr>
            <w:tcW w:type="dxa" w:w="3300"/>
          </w:tcPr>
          <w:p>
            <w:pPr>
              <w:spacing w:after="0" w:line="264" w:lineRule="auto"/>
            </w:pPr>
            <w:r>
              <w:rPr>
                <w:rFonts w:ascii="Calibri" w:hAnsi="Calibri"/>
                <w:b w:val="0"/>
                <w:color w:val="0B2545"/>
                <w:sz w:val="21"/>
              </w:rPr>
              <w:t>Message behaviour reviewed</w:t>
            </w:r>
          </w:p>
        </w:tc>
        <w:tc>
          <w:tcPr>
            <w:tcW w:type="dxa" w:w="6060"/>
          </w:tcPr>
          <w:p>
            <w:pPr>
              <w:spacing w:after="0" w:line="264" w:lineRule="auto"/>
            </w:pPr>
            <w:r>
              <w:rPr>
                <w:rFonts w:ascii="Calibri" w:hAnsi="Calibri"/>
                <w:b w:val="0"/>
                <w:color w:val="0B2545"/>
                <w:sz w:val="21"/>
              </w:rPr>
              <w:t>Confirms the Business understands Mindbody delivery and any accepted notification limitations.</w:t>
            </w:r>
          </w:p>
        </w:tc>
      </w:tr>
    </w:tbl>
    <w:p>
      <w:pPr>
        <w:spacing w:after="0"/>
      </w:pPr>
    </w:p>
    <w:p>
      <w:pPr>
        <w:pStyle w:val="Heading2"/>
      </w:pPr>
      <w:r>
        <w:t>Release and support controls</w:t>
      </w:r>
    </w:p>
    <w:p>
      <w:pPr>
        <w:pStyle w:val="ListBullet"/>
        <w:spacing w:after="160" w:line="280" w:lineRule="auto"/>
      </w:pPr>
      <w:r>
        <w:t>Every release must pass automated tests for tenant isolation and the Booking-attempt lifecycle.</w:t>
      </w:r>
    </w:p>
    <w:p>
      <w:pPr>
        <w:pStyle w:val="ListBullet"/>
        <w:spacing w:after="160" w:line="280" w:lineRule="auto"/>
      </w:pPr>
      <w:r>
        <w:t>Promotion requires no unresolved unknown outcomes and no cross-tenant access failures.</w:t>
      </w:r>
    </w:p>
    <w:p>
      <w:pPr>
        <w:pStyle w:val="ListBullet"/>
        <w:spacing w:after="160" w:line="280" w:lineRule="auto"/>
      </w:pPr>
      <w:r>
        <w:t>Unknown outcomes, repeated reconciliation failures, expired attempts needing attention, and ambiguous client matches enter a staff-only support queue.</w:t>
      </w:r>
    </w:p>
    <w:p>
      <w:pPr>
        <w:pStyle w:val="ListBullet"/>
        <w:spacing w:after="160" w:line="280" w:lineRule="auto"/>
      </w:pPr>
      <w:r>
        <w:t>Revvi staff are alerted to unknown outcomes and review queued work by the next business day. A Business feature flag can be disabled if a readiness or operational threshold is breached.</w:t>
      </w:r>
    </w:p>
    <w:p>
      <w:pPr>
        <w:pStyle w:val="Heading1"/>
      </w:pPr>
      <w:r>
        <w:t>What is deliberately outside V1</w:t>
      </w:r>
    </w:p>
    <w:tbl>
      <w:tblPr>
        <w:tblStyle w:val="TableGrid"/>
        <w:tblW w:type="dxa" w:w="9360"/>
        <w:jc w:val="left"/>
        <w:tblLayout w:type="fixed"/>
        <w:tblLook w:firstColumn="1" w:firstRow="1" w:lastColumn="0" w:lastRow="0" w:noHBand="0" w:noVBand="1" w:val="04A0"/>
        <w:tblInd w:w="120" w:type="dxa"/>
      </w:tblPr>
      <w:tblGrid>
        <w:gridCol w:w="3420"/>
        <w:gridCol w:w="5940"/>
      </w:tblGrid>
      <w:tr>
        <w:trPr>
          <w:tblHeader w:val="true"/>
        </w:trPr>
        <w:tc>
          <w:tcPr>
            <w:tcW w:type="dxa" w:w="3420"/>
            <w:tcMar>
              <w:top w:w="80" w:type="dxa"/>
              <w:start w:w="120" w:type="dxa"/>
              <w:bottom w:w="80" w:type="dxa"/>
              <w:end w:w="120" w:type="dxa"/>
            </w:tcMar>
            <w:vAlign w:val="center"/>
            <w:shd w:fill="F2F4F7"/>
          </w:tcPr>
          <w:p>
            <w:pPr>
              <w:spacing w:after="0" w:line="264" w:lineRule="auto"/>
            </w:pPr>
            <w:r>
              <w:rPr>
                <w:rFonts w:ascii="Calibri" w:hAnsi="Calibri"/>
                <w:b/>
                <w:color w:val="1F4D78"/>
                <w:sz w:val="20"/>
              </w:rPr>
              <w:t>Not included in V1</w:t>
            </w:r>
          </w:p>
        </w:tc>
        <w:tc>
          <w:tcPr>
            <w:tcW w:type="dxa" w:w="5940"/>
            <w:tcMar>
              <w:top w:w="80" w:type="dxa"/>
              <w:start w:w="120" w:type="dxa"/>
              <w:bottom w:w="80" w:type="dxa"/>
              <w:end w:w="120" w:type="dxa"/>
            </w:tcMar>
            <w:vAlign w:val="center"/>
            <w:shd w:fill="F2F4F7"/>
          </w:tcPr>
          <w:p>
            <w:pPr>
              <w:spacing w:after="0" w:line="264" w:lineRule="auto"/>
            </w:pPr>
            <w:r>
              <w:rPr>
                <w:rFonts w:ascii="Calibri" w:hAnsi="Calibri"/>
                <w:b/>
                <w:color w:val="1F4D78"/>
                <w:sz w:val="20"/>
              </w:rPr>
              <w:t>Reason</w:t>
            </w:r>
          </w:p>
        </w:tc>
      </w:tr>
      <w:tr>
        <w:tc>
          <w:tcPr>
            <w:tcW w:type="dxa" w:w="3420"/>
          </w:tcPr>
          <w:p>
            <w:pPr>
              <w:spacing w:after="0" w:line="264" w:lineRule="auto"/>
            </w:pPr>
            <w:r>
              <w:rPr>
                <w:rFonts w:ascii="Calibri" w:hAnsi="Calibri"/>
                <w:b w:val="0"/>
                <w:color w:val="0B2545"/>
                <w:sz w:val="21"/>
              </w:rPr>
              <w:t>Customer self-service cancellation or rescheduling</w:t>
            </w:r>
          </w:p>
        </w:tc>
        <w:tc>
          <w:tcPr>
            <w:tcW w:type="dxa" w:w="5940"/>
          </w:tcPr>
          <w:p>
            <w:pPr>
              <w:spacing w:after="0" w:line="264" w:lineRule="auto"/>
            </w:pPr>
            <w:r>
              <w:rPr>
                <w:rFonts w:ascii="Calibri" w:hAnsi="Calibri"/>
                <w:b w:val="0"/>
                <w:color w:val="0B2545"/>
                <w:sz w:val="21"/>
              </w:rPr>
              <w:t>The cancellation contract has not been validated; Revvi will not automatically cancel Mindbody appointments.</w:t>
            </w:r>
          </w:p>
        </w:tc>
      </w:tr>
      <w:tr>
        <w:tc>
          <w:tcPr>
            <w:tcW w:type="dxa" w:w="3420"/>
          </w:tcPr>
          <w:p>
            <w:pPr>
              <w:spacing w:after="0" w:line="264" w:lineRule="auto"/>
            </w:pPr>
            <w:r>
              <w:rPr>
                <w:rFonts w:ascii="Calibri" w:hAnsi="Calibri"/>
                <w:b w:val="0"/>
                <w:color w:val="0B2545"/>
                <w:sz w:val="21"/>
              </w:rPr>
              <w:t>Recurring classes, packs, memberships, waitlists, or appointment series</w:t>
            </w:r>
          </w:p>
        </w:tc>
        <w:tc>
          <w:tcPr>
            <w:tcW w:type="dxa" w:w="5940"/>
          </w:tcPr>
          <w:p>
            <w:pPr>
              <w:spacing w:after="0" w:line="264" w:lineRule="auto"/>
            </w:pPr>
            <w:r>
              <w:rPr>
                <w:rFonts w:ascii="Calibri" w:hAnsi="Calibri"/>
                <w:b w:val="0"/>
                <w:color w:val="0B2545"/>
                <w:sz w:val="21"/>
              </w:rPr>
              <w:t>V1 focuses on a clear, single-session Booking journey.</w:t>
            </w:r>
          </w:p>
        </w:tc>
      </w:tr>
      <w:tr>
        <w:tc>
          <w:tcPr>
            <w:tcW w:type="dxa" w:w="3420"/>
          </w:tcPr>
          <w:p>
            <w:pPr>
              <w:spacing w:after="0" w:line="264" w:lineRule="auto"/>
            </w:pPr>
            <w:r>
              <w:rPr>
                <w:rFonts w:ascii="Calibri" w:hAnsi="Calibri"/>
                <w:b w:val="0"/>
                <w:color w:val="0B2545"/>
                <w:sz w:val="21"/>
              </w:rPr>
              <w:t>Business-admin self-service portal</w:t>
            </w:r>
          </w:p>
        </w:tc>
        <w:tc>
          <w:tcPr>
            <w:tcW w:type="dxa" w:w="5940"/>
          </w:tcPr>
          <w:p>
            <w:pPr>
              <w:spacing w:after="0" w:line="264" w:lineRule="auto"/>
            </w:pPr>
            <w:r>
              <w:rPr>
                <w:rFonts w:ascii="Calibri" w:hAnsi="Calibri"/>
                <w:b w:val="0"/>
                <w:color w:val="0B2545"/>
                <w:sz w:val="21"/>
              </w:rPr>
              <w:t>Revvi staff onboard and manage Businesses in V1.</w:t>
            </w:r>
          </w:p>
        </w:tc>
      </w:tr>
      <w:tr>
        <w:tc>
          <w:tcPr>
            <w:tcW w:type="dxa" w:w="3420"/>
          </w:tcPr>
          <w:p>
            <w:pPr>
              <w:spacing w:after="0" w:line="264" w:lineRule="auto"/>
            </w:pPr>
            <w:r>
              <w:rPr>
                <w:rFonts w:ascii="Calibri" w:hAnsi="Calibri"/>
                <w:b w:val="0"/>
                <w:color w:val="0B2545"/>
                <w:sz w:val="21"/>
              </w:rPr>
              <w:t>Assumed hosted checkout or API-controlled message branding</w:t>
            </w:r>
          </w:p>
        </w:tc>
        <w:tc>
          <w:tcPr>
            <w:tcW w:type="dxa" w:w="5940"/>
          </w:tcPr>
          <w:p>
            <w:pPr>
              <w:spacing w:after="0" w:line="264" w:lineRule="auto"/>
            </w:pPr>
            <w:r>
              <w:rPr>
                <w:rFonts w:ascii="Calibri" w:hAnsi="Calibri"/>
                <w:b w:val="0"/>
                <w:color w:val="0B2545"/>
                <w:sz w:val="21"/>
              </w:rPr>
              <w:t>These capabilities are not established by the current Mindbody validation and are not promised.</w:t>
            </w:r>
          </w:p>
        </w:tc>
      </w:tr>
    </w:tbl>
    <w:p>
      <w:pPr>
        <w:spacing w:after="0"/>
      </w:pPr>
    </w:p>
    <w:p>
      <w:pPr>
        <w:pStyle w:val="Heading1"/>
      </w:pPr>
      <w:r>
        <w:t>What happens next</w:t>
      </w:r>
    </w:p>
    <w:p>
      <w:r>
        <w:t>The planning decisions are complete. The next phase is to translate this agreed model into implementation tickets, covering the responsive experience, server-side Mindbody integration, operational ledger, staff operations view, automated tests, and pilot onboarding runbook.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Revvi stakeholder summary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8"/>
      </w:rPr>
      <w:t>REVVI | MINDBODY BOOKING INTEGRATION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