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1414D" w14:textId="77777777" w:rsidR="0062366E" w:rsidRDefault="00000000">
      <w:pPr>
        <w:spacing w:after="114" w:line="259" w:lineRule="auto"/>
        <w:ind w:left="3" w:firstLine="0"/>
        <w:jc w:val="center"/>
      </w:pPr>
      <w:r>
        <w:rPr>
          <w:b/>
          <w:color w:val="000000"/>
        </w:rPr>
        <w:t xml:space="preserve"> The Iranian Revolution </w:t>
      </w:r>
    </w:p>
    <w:p w14:paraId="3322F1E7" w14:textId="6A293A66" w:rsidR="0062366E" w:rsidRDefault="00000000">
      <w:pPr>
        <w:spacing w:after="431" w:line="259" w:lineRule="auto"/>
        <w:ind w:left="3" w:firstLine="0"/>
        <w:jc w:val="center"/>
      </w:pPr>
      <w:r>
        <w:rPr>
          <w:b/>
        </w:rPr>
        <w:t xml:space="preserve"> From Unity to Disillusio</w:t>
      </w:r>
      <w:r w:rsidR="004F23BC">
        <w:rPr>
          <w:b/>
        </w:rPr>
        <w:t>n</w:t>
      </w:r>
      <w:r>
        <w:rPr>
          <w:b/>
        </w:rPr>
        <w:t xml:space="preserve">: The Fall of the Shah and </w:t>
      </w:r>
      <w:r w:rsidR="004F23BC">
        <w:rPr>
          <w:b/>
        </w:rPr>
        <w:t>i</w:t>
      </w:r>
      <w:r>
        <w:rPr>
          <w:b/>
        </w:rPr>
        <w:t xml:space="preserve">ts Aftermath </w:t>
      </w:r>
    </w:p>
    <w:p w14:paraId="5EA6F6F8" w14:textId="77777777" w:rsidR="0062366E" w:rsidRDefault="00000000">
      <w:pPr>
        <w:spacing w:after="114" w:line="259" w:lineRule="auto"/>
        <w:ind w:left="-5" w:hanging="10"/>
      </w:pPr>
      <w:r>
        <w:rPr>
          <w:b/>
          <w:color w:val="000000"/>
        </w:rPr>
        <w:t xml:space="preserve"> Introduction </w:t>
      </w:r>
    </w:p>
    <w:p w14:paraId="465D6FF2" w14:textId="77777777" w:rsidR="0062366E" w:rsidRDefault="00000000">
      <w:pPr>
        <w:spacing w:after="409"/>
        <w:ind w:left="-15" w:firstLine="0"/>
      </w:pPr>
      <w:r>
        <w:t xml:space="preserve"> The Iranian Revolution of 1979 marked a profound political and ideological transformation in  the middle-east, shifting one of the world’s oldest secular monarchies into an Islamic state. The  revolution that overthrew Mohamed Reza Pahlavi Shah ended what had previously been  thousands of years of monarchy in Iran</w:t>
      </w:r>
      <w:r>
        <w:rPr>
          <w:sz w:val="22"/>
          <w:vertAlign w:val="superscript"/>
        </w:rPr>
        <w:t xml:space="preserve"> </w:t>
      </w:r>
      <w:r>
        <w:rPr>
          <w:sz w:val="22"/>
          <w:vertAlign w:val="superscript"/>
        </w:rPr>
        <w:footnoteReference w:id="1"/>
      </w:r>
      <w:r>
        <w:t xml:space="preserve"> </w:t>
      </w:r>
      <w:r>
        <w:rPr>
          <w:sz w:val="22"/>
          <w:vertAlign w:val="superscript"/>
        </w:rPr>
        <w:t xml:space="preserve"> </w:t>
      </w:r>
      <w:r>
        <w:t xml:space="preserve">. The revolution entirely reshaped the political landscape </w:t>
      </w:r>
      <w:r>
        <w:tab/>
        <w:t xml:space="preserve">  of not just the middle-east but that of the western world as well. Allies became enemies and  church became state. In this paper, I’ll argue how the Shah’s radical steps to westernize Iran  economically and structurally alienated the clergy by going against Islamic values and turned  almost every socio-economic level of his regime against him which incited the ideological revolution that would be his demise. These factors were largely emboldened by the 1953 coup </w:t>
      </w:r>
      <w:r>
        <w:tab/>
        <w:t xml:space="preserve"> which removed a democratically elected prime minister from office </w:t>
      </w:r>
      <w:r>
        <w:tab/>
      </w:r>
      <w:r>
        <w:rPr>
          <w:sz w:val="22"/>
          <w:vertAlign w:val="superscript"/>
        </w:rPr>
        <w:t xml:space="preserve"> </w:t>
      </w:r>
      <w:r>
        <w:rPr>
          <w:sz w:val="22"/>
          <w:vertAlign w:val="superscript"/>
        </w:rPr>
        <w:footnoteReference w:id="2"/>
      </w:r>
      <w:r>
        <w:t xml:space="preserve"> </w:t>
      </w:r>
      <w:r>
        <w:rPr>
          <w:sz w:val="22"/>
          <w:vertAlign w:val="superscript"/>
        </w:rPr>
        <w:t xml:space="preserve"> </w:t>
      </w:r>
      <w:r>
        <w:t xml:space="preserve"> and the “white revolution”  Mohammad Reza Shah orchestrated to carry on his father’s legacy and preempt communist  takeover</w:t>
      </w:r>
      <w:r>
        <w:rPr>
          <w:sz w:val="22"/>
          <w:vertAlign w:val="superscript"/>
        </w:rPr>
        <w:t xml:space="preserve"> 3</w:t>
      </w:r>
      <w:r>
        <w:t xml:space="preserve"> </w:t>
      </w:r>
      <w:r>
        <w:rPr>
          <w:sz w:val="22"/>
          <w:vertAlign w:val="superscript"/>
        </w:rPr>
        <w:t xml:space="preserve"> </w:t>
      </w:r>
      <w:r>
        <w:t xml:space="preserve"> . Tracking these ideological and economic changes will paint a clear picture of how the  Islamic State strategically positioned itself in the minds of the Iranian people to seize control  over the unsteady regime of the Shah and establish itself as one of the most influential, powerful, and unique players in the Middle East.. </w:t>
      </w:r>
      <w:r>
        <w:tab/>
        <w:t xml:space="preserve"> </w:t>
      </w:r>
    </w:p>
    <w:p w14:paraId="099C6751" w14:textId="77777777" w:rsidR="0062366E" w:rsidRDefault="00000000">
      <w:pPr>
        <w:spacing w:after="114" w:line="259" w:lineRule="auto"/>
        <w:ind w:left="-5" w:hanging="10"/>
      </w:pPr>
      <w:r>
        <w:rPr>
          <w:b/>
        </w:rPr>
        <w:t xml:space="preserve"> The Fall of Iran’s Final Dynasty </w:t>
      </w:r>
    </w:p>
    <w:p w14:paraId="50343E14" w14:textId="77777777" w:rsidR="0062366E" w:rsidRDefault="00000000">
      <w:pPr>
        <w:ind w:left="-15" w:firstLine="0"/>
      </w:pPr>
      <w:r>
        <w:t xml:space="preserve"> The Pahlavi Regime was by no means the longest serving monarchy in Iran’s long history lasting  only two generations but was still legitimized by over 2,500 years of dynastic rule</w:t>
      </w:r>
      <w:r>
        <w:rPr>
          <w:sz w:val="22"/>
          <w:vertAlign w:val="superscript"/>
        </w:rPr>
        <w:t xml:space="preserve"> 4</w:t>
      </w:r>
      <w:r>
        <w:t xml:space="preserve"> </w:t>
      </w:r>
      <w:r>
        <w:rPr>
          <w:sz w:val="22"/>
          <w:vertAlign w:val="superscript"/>
        </w:rPr>
        <w:t xml:space="preserve"> </w:t>
      </w:r>
      <w:r>
        <w:t xml:space="preserve"> . This  traditional legitimacy is characterized by this from Empress Farah saying that “</w:t>
      </w:r>
      <w:r>
        <w:rPr>
          <w:color w:val="000000"/>
        </w:rPr>
        <w:t xml:space="preserve"> The monarchy  has a special meaning for Iranian families. It is in our way of life. It has been an integral part of  our history….</w:t>
      </w:r>
      <w:r>
        <w:t xml:space="preserve"> ”</w:t>
      </w:r>
      <w:r>
        <w:rPr>
          <w:sz w:val="22"/>
          <w:vertAlign w:val="superscript"/>
        </w:rPr>
        <w:t xml:space="preserve"> </w:t>
      </w:r>
      <w:r>
        <w:rPr>
          <w:sz w:val="22"/>
          <w:vertAlign w:val="superscript"/>
        </w:rPr>
        <w:footnoteReference w:id="3"/>
      </w:r>
      <w:r>
        <w:t xml:space="preserve"> </w:t>
      </w:r>
      <w:r>
        <w:rPr>
          <w:sz w:val="22"/>
          <w:vertAlign w:val="superscript"/>
        </w:rPr>
        <w:t xml:space="preserve"> </w:t>
      </w:r>
      <w:r>
        <w:t xml:space="preserve"> When Mohamed Reza Pahlavi Shah took his father’s place in 1941, his power was initially constrained by the 1906 constitution which implemented a parliament and separated </w:t>
      </w:r>
      <w:r>
        <w:tab/>
        <w:t xml:space="preserve">  much of the state’s powers making the regime a constitutional monarchy for the time being</w:t>
      </w:r>
      <w:r>
        <w:rPr>
          <w:sz w:val="22"/>
          <w:vertAlign w:val="superscript"/>
        </w:rPr>
        <w:t xml:space="preserve"> 6</w:t>
      </w:r>
      <w:r>
        <w:t xml:space="preserve"> </w:t>
      </w:r>
      <w:r>
        <w:rPr>
          <w:sz w:val="22"/>
          <w:vertAlign w:val="superscript"/>
        </w:rPr>
        <w:t xml:space="preserve"> </w:t>
      </w:r>
      <w:r>
        <w:t xml:space="preserve"> .  Additionally, western powers had a heavy hand on the shoulders of the new Shah. Seeing as  they’re the ones ultimately responsible for ousting his father and placing him on the throne.  Since oil was discovered in Iran in 1908, the Great Britain, and the Soviet Union have had a  large stake in the outcomes of Iranian state decisions</w:t>
      </w:r>
      <w:r>
        <w:rPr>
          <w:sz w:val="22"/>
          <w:vertAlign w:val="superscript"/>
        </w:rPr>
        <w:t xml:space="preserve"> 7</w:t>
      </w:r>
      <w:r>
        <w:t xml:space="preserve"> </w:t>
      </w:r>
      <w:r>
        <w:rPr>
          <w:sz w:val="22"/>
          <w:vertAlign w:val="superscript"/>
        </w:rPr>
        <w:t xml:space="preserve"> </w:t>
      </w:r>
      <w:r>
        <w:t xml:space="preserve"> . So to limit their risk, western powers have  had a growing influence of what happens at the state-level of the Iranian government up to this  point. This included the coup in 1953 that overthrew Mohammad Mosaddegh and was orchestrated by the CIA and MI6 to ensure their interests remained intact </w:t>
      </w:r>
      <w:r>
        <w:tab/>
      </w:r>
      <w:r>
        <w:rPr>
          <w:sz w:val="22"/>
          <w:vertAlign w:val="superscript"/>
        </w:rPr>
        <w:t xml:space="preserve">8 </w:t>
      </w:r>
      <w:r>
        <w:t xml:space="preserve"> </w:t>
      </w:r>
      <w:r>
        <w:rPr>
          <w:sz w:val="22"/>
          <w:vertAlign w:val="superscript"/>
        </w:rPr>
        <w:t xml:space="preserve"> </w:t>
      </w:r>
      <w:r>
        <w:t xml:space="preserve"> . The US was involved,  not for oil, but to ensure Iran doesn’t succumb to the USSR’s communist influence. This coup  consolidated power under the Shah, dismantling the constitutional monarchy in the process,  which enabled him to establish a more autocratic regime effectively backed by the US and Great Britain. This coup removed a democratically elected leader whom the people chose and believed </w:t>
      </w:r>
      <w:r>
        <w:tab/>
        <w:t xml:space="preserve">  would improve their lives and Iran. This increased anti-western, anti-Shah sentiment in Iran and  set the foundation for the 1979 revolution. </w:t>
      </w:r>
    </w:p>
    <w:p w14:paraId="7F3E732F" w14:textId="77777777" w:rsidR="0062366E" w:rsidRDefault="00000000">
      <w:pPr>
        <w:spacing w:after="251"/>
        <w:ind w:left="-15"/>
      </w:pPr>
      <w:r>
        <w:t xml:space="preserve"> Once given a second chance following the coup, the once-timid Shah embarked on an aggressive campaign to modernize Iran, creating significant economic and social challenges. </w:t>
      </w:r>
      <w:r>
        <w:tab/>
        <w:t xml:space="preserve">  Declaring that Iran was “at the gates of the great civilizations” and that its standard of living  would soon surpass Europe, the Shah launched the “White Revolution.”</w:t>
      </w:r>
      <w:r>
        <w:rPr>
          <w:color w:val="000000"/>
          <w:sz w:val="22"/>
          <w:vertAlign w:val="superscript"/>
        </w:rPr>
        <w:t xml:space="preserve"> 9</w:t>
      </w:r>
      <w:r>
        <w:t xml:space="preserve"> </w:t>
      </w:r>
      <w:r>
        <w:rPr>
          <w:color w:val="000000"/>
          <w:sz w:val="22"/>
          <w:vertAlign w:val="superscript"/>
        </w:rPr>
        <w:t xml:space="preserve"> </w:t>
      </w:r>
      <w:r>
        <w:t xml:space="preserve"> This series of sweeping  reforms, inspired by Western ideals, funded by Iran’s immense oil wealth, and largely supported  by western powers, aimed to transform the nation into a modern economy</w:t>
      </w:r>
      <w:r>
        <w:rPr>
          <w:sz w:val="22"/>
          <w:vertAlign w:val="superscript"/>
        </w:rPr>
        <w:t xml:space="preserve"> 10</w:t>
      </w:r>
      <w:r>
        <w:t xml:space="preserve"> </w:t>
      </w:r>
      <w:r>
        <w:rPr>
          <w:sz w:val="22"/>
          <w:vertAlign w:val="superscript"/>
        </w:rPr>
        <w:t xml:space="preserve"> </w:t>
      </w:r>
      <w:r>
        <w:t xml:space="preserve">. Between 1963 and </w:t>
      </w:r>
      <w:r>
        <w:tab/>
        <w:t xml:space="preserve">  1979, these initiatives abolished the feudal system, expanded women’s rights, modernized  infrastructure, and introduced new technologies</w:t>
      </w:r>
      <w:r>
        <w:rPr>
          <w:sz w:val="22"/>
          <w:vertAlign w:val="superscript"/>
        </w:rPr>
        <w:t xml:space="preserve"> 11</w:t>
      </w:r>
      <w:r>
        <w:t xml:space="preserve"> </w:t>
      </w:r>
      <w:r>
        <w:rPr>
          <w:sz w:val="22"/>
          <w:vertAlign w:val="superscript"/>
        </w:rPr>
        <w:t xml:space="preserve"> </w:t>
      </w:r>
      <w:r>
        <w:t xml:space="preserve">. Additionally, in march of 1975, the Shah </w:t>
      </w:r>
      <w:r>
        <w:tab/>
        <w:t xml:space="preserve">  abolished the two party system in favor of a one-party state to further control his kingdom</w:t>
      </w:r>
      <w:r>
        <w:rPr>
          <w:sz w:val="22"/>
          <w:vertAlign w:val="superscript"/>
        </w:rPr>
        <w:t xml:space="preserve"> 12</w:t>
      </w:r>
      <w:r>
        <w:t xml:space="preserve"> </w:t>
      </w:r>
      <w:r>
        <w:rPr>
          <w:sz w:val="22"/>
          <w:vertAlign w:val="superscript"/>
        </w:rPr>
        <w:t xml:space="preserve"> </w:t>
      </w:r>
      <w:r>
        <w:t xml:space="preserve"> . </w:t>
      </w:r>
    </w:p>
    <w:p w14:paraId="19D5BDD3" w14:textId="77777777" w:rsidR="0062366E" w:rsidRDefault="00000000">
      <w:pPr>
        <w:spacing w:after="161" w:line="259" w:lineRule="auto"/>
        <w:ind w:firstLine="0"/>
      </w:pPr>
      <w:r>
        <w:rPr>
          <w:rFonts w:ascii="Calibri" w:eastAsia="Calibri" w:hAnsi="Calibri" w:cs="Calibri"/>
          <w:noProof/>
          <w:color w:val="000000"/>
          <w:sz w:val="22"/>
        </w:rPr>
        <mc:AlternateContent>
          <mc:Choice Requires="wpg">
            <w:drawing>
              <wp:inline distT="0" distB="0" distL="0" distR="0" wp14:anchorId="70F083FA" wp14:editId="56040C86">
                <wp:extent cx="1828800" cy="9525"/>
                <wp:effectExtent l="0" t="0" r="0" b="0"/>
                <wp:docPr id="7952" name="Group 7952"/>
                <wp:cNvGraphicFramePr/>
                <a:graphic xmlns:a="http://schemas.openxmlformats.org/drawingml/2006/main">
                  <a:graphicData uri="http://schemas.microsoft.com/office/word/2010/wordprocessingGroup">
                    <wpg:wgp>
                      <wpg:cNvGrpSpPr/>
                      <wpg:grpSpPr>
                        <a:xfrm>
                          <a:off x="0" y="0"/>
                          <a:ext cx="1828800" cy="9525"/>
                          <a:chOff x="0" y="0"/>
                          <a:chExt cx="1828800" cy="9525"/>
                        </a:xfrm>
                      </wpg:grpSpPr>
                      <wps:wsp>
                        <wps:cNvPr id="539" name="Shape 539"/>
                        <wps:cNvSpPr/>
                        <wps:spPr>
                          <a:xfrm>
                            <a:off x="0" y="0"/>
                            <a:ext cx="1828800" cy="0"/>
                          </a:xfrm>
                          <a:custGeom>
                            <a:avLst/>
                            <a:gdLst/>
                            <a:ahLst/>
                            <a:cxnLst/>
                            <a:rect l="0" t="0" r="0" b="0"/>
                            <a:pathLst>
                              <a:path w="1828800">
                                <a:moveTo>
                                  <a:pt x="0" y="0"/>
                                </a:moveTo>
                                <a:lnTo>
                                  <a:pt x="182880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52" style="width:144pt;height:0.75pt;mso-position-horizontal-relative:char;mso-position-vertical-relative:line" coordsize="18288,95">
                <v:shape id="Shape 539" style="position:absolute;width:18288;height:0;left:0;top:0;" coordsize="1828800,0" path="m0,0l1828800,0">
                  <v:stroke weight="0.75pt" endcap="flat" joinstyle="miter" miterlimit="10" on="true" color="#000000"/>
                  <v:fill on="false" color="#000000" opacity="0"/>
                </v:shape>
              </v:group>
            </w:pict>
          </mc:Fallback>
        </mc:AlternateContent>
      </w:r>
    </w:p>
    <w:p w14:paraId="37E002C6" w14:textId="77777777" w:rsidR="0062366E" w:rsidRDefault="00000000">
      <w:pPr>
        <w:numPr>
          <w:ilvl w:val="0"/>
          <w:numId w:val="1"/>
        </w:numPr>
        <w:spacing w:after="3" w:line="256" w:lineRule="auto"/>
        <w:ind w:hanging="180"/>
      </w:pPr>
      <w:r>
        <w:rPr>
          <w:rFonts w:ascii="Arial" w:eastAsia="Arial" w:hAnsi="Arial" w:cs="Arial"/>
          <w:color w:val="000000"/>
          <w:sz w:val="20"/>
        </w:rPr>
        <w:t xml:space="preserve">Sheikhzadegan, A., Sheikhzadegan, A., Meier, A., Meier, A., &amp; Sheikhzadegan, A. (2017). The  Trajectory of the 1953 Military Coup and the Course of Liberal Islam in Iran: A Sociological Analysis. In </w:t>
      </w:r>
      <w:r>
        <w:rPr>
          <w:rFonts w:ascii="Arial" w:eastAsia="Arial" w:hAnsi="Arial" w:cs="Arial"/>
          <w:i/>
          <w:color w:val="000000"/>
          <w:sz w:val="20"/>
        </w:rPr>
        <w:t xml:space="preserve"> Beyond the Islamic Revolution </w:t>
      </w:r>
      <w:r>
        <w:rPr>
          <w:rFonts w:ascii="Arial" w:eastAsia="Arial" w:hAnsi="Arial" w:cs="Arial"/>
          <w:color w:val="000000"/>
          <w:sz w:val="20"/>
        </w:rPr>
        <w:t xml:space="preserve"> (Vol. 8, pp. 31–59).  Page 33, Walter de Gruyter GmbH.  https://doi.org/10.1515/9783110399882-003 </w:t>
      </w:r>
    </w:p>
    <w:p w14:paraId="27D72578" w14:textId="77777777" w:rsidR="0062366E" w:rsidRDefault="00000000">
      <w:pPr>
        <w:numPr>
          <w:ilvl w:val="0"/>
          <w:numId w:val="1"/>
        </w:numPr>
        <w:spacing w:after="3" w:line="256" w:lineRule="auto"/>
        <w:ind w:hanging="180"/>
      </w:pPr>
      <w:r>
        <w:rPr>
          <w:rFonts w:ascii="Arial" w:eastAsia="Arial" w:hAnsi="Arial" w:cs="Arial"/>
          <w:color w:val="000000"/>
          <w:sz w:val="20"/>
        </w:rPr>
        <w:t xml:space="preserve">Wiser World Podcast, Episode 16 </w:t>
      </w:r>
    </w:p>
    <w:p w14:paraId="03C547A3" w14:textId="77777777" w:rsidR="0062366E" w:rsidRDefault="00000000">
      <w:pPr>
        <w:numPr>
          <w:ilvl w:val="0"/>
          <w:numId w:val="1"/>
        </w:numPr>
        <w:spacing w:after="3" w:line="256" w:lineRule="auto"/>
        <w:ind w:hanging="180"/>
      </w:pPr>
      <w:r>
        <w:rPr>
          <w:rFonts w:ascii="Arial" w:eastAsia="Arial" w:hAnsi="Arial" w:cs="Arial"/>
          <w:color w:val="000000"/>
          <w:sz w:val="20"/>
        </w:rPr>
        <w:t xml:space="preserve">Wiser World Podcast, Episode 16 </w:t>
      </w:r>
    </w:p>
    <w:p w14:paraId="4259DFED" w14:textId="77777777" w:rsidR="0062366E" w:rsidRDefault="00000000">
      <w:pPr>
        <w:numPr>
          <w:ilvl w:val="0"/>
          <w:numId w:val="1"/>
        </w:numPr>
        <w:spacing w:after="2" w:line="259" w:lineRule="auto"/>
        <w:ind w:hanging="180"/>
      </w:pPr>
      <w:r>
        <w:rPr>
          <w:rFonts w:ascii="Arial" w:eastAsia="Arial" w:hAnsi="Arial" w:cs="Arial"/>
          <w:sz w:val="20"/>
        </w:rPr>
        <w:t xml:space="preserve">Afkhami, Gholam Reza. </w:t>
      </w:r>
      <w:r>
        <w:rPr>
          <w:rFonts w:ascii="Arial" w:eastAsia="Arial" w:hAnsi="Arial" w:cs="Arial"/>
          <w:i/>
          <w:sz w:val="20"/>
        </w:rPr>
        <w:t xml:space="preserve"> The Life and Times of the Shah</w:t>
      </w:r>
      <w:r>
        <w:rPr>
          <w:rFonts w:ascii="Arial" w:eastAsia="Arial" w:hAnsi="Arial" w:cs="Arial"/>
          <w:sz w:val="20"/>
        </w:rPr>
        <w:t xml:space="preserve"> . University of California Press, 2009. Pp. </w:t>
      </w:r>
    </w:p>
    <w:p w14:paraId="0CF06B48" w14:textId="77777777" w:rsidR="0062366E" w:rsidRDefault="00000000">
      <w:pPr>
        <w:spacing w:after="2" w:line="259" w:lineRule="auto"/>
        <w:ind w:left="-5" w:hanging="10"/>
      </w:pPr>
      <w:r>
        <w:rPr>
          <w:rFonts w:ascii="Arial" w:eastAsia="Arial" w:hAnsi="Arial" w:cs="Arial"/>
          <w:sz w:val="20"/>
        </w:rPr>
        <w:t xml:space="preserve"> 333-334 </w:t>
      </w:r>
    </w:p>
    <w:p w14:paraId="7E505702" w14:textId="77777777" w:rsidR="0062366E" w:rsidRDefault="00000000">
      <w:pPr>
        <w:numPr>
          <w:ilvl w:val="0"/>
          <w:numId w:val="1"/>
        </w:numPr>
        <w:spacing w:after="0" w:line="259" w:lineRule="auto"/>
        <w:ind w:hanging="180"/>
      </w:pPr>
      <w:r>
        <w:rPr>
          <w:rFonts w:ascii="Arial" w:eastAsia="Arial" w:hAnsi="Arial" w:cs="Arial"/>
          <w:color w:val="000000"/>
          <w:sz w:val="21"/>
        </w:rPr>
        <w:t xml:space="preserve">Abrahamian, Ervand. Page 123 </w:t>
      </w:r>
    </w:p>
    <w:p w14:paraId="6B26EE38" w14:textId="77777777" w:rsidR="0062366E" w:rsidRDefault="00000000">
      <w:pPr>
        <w:numPr>
          <w:ilvl w:val="0"/>
          <w:numId w:val="1"/>
        </w:numPr>
        <w:spacing w:after="27" w:line="256" w:lineRule="auto"/>
        <w:ind w:hanging="180"/>
      </w:pPr>
      <w:r>
        <w:rPr>
          <w:rFonts w:ascii="Arial" w:eastAsia="Arial" w:hAnsi="Arial" w:cs="Arial"/>
          <w:color w:val="000000"/>
          <w:sz w:val="20"/>
        </w:rPr>
        <w:t xml:space="preserve">Wiser World Podcast, Episode 17, </w:t>
      </w:r>
    </w:p>
    <w:p w14:paraId="4F8DDC58" w14:textId="77777777" w:rsidR="0062366E" w:rsidRDefault="00000000">
      <w:pPr>
        <w:spacing w:after="3" w:line="256" w:lineRule="auto"/>
        <w:ind w:left="-5" w:right="1701" w:hanging="10"/>
      </w:pPr>
      <w:r>
        <w:rPr>
          <w:rFonts w:ascii="Arial" w:eastAsia="Arial" w:hAnsi="Arial" w:cs="Arial"/>
          <w:color w:val="000000"/>
          <w:sz w:val="20"/>
        </w:rPr>
        <w:t xml:space="preserve"> https://open.spotify.com/episode/7vGUfq5IcfQOej3OX973Gf?si=da1dce25ad3d4345 </w:t>
      </w:r>
      <w:r>
        <w:rPr>
          <w:rFonts w:ascii="Arial" w:eastAsia="Arial" w:hAnsi="Arial" w:cs="Arial"/>
          <w:color w:val="000000"/>
          <w:sz w:val="19"/>
          <w:vertAlign w:val="superscript"/>
        </w:rPr>
        <w:t xml:space="preserve"> 12 </w:t>
      </w:r>
      <w:r>
        <w:rPr>
          <w:rFonts w:ascii="Arial" w:eastAsia="Arial" w:hAnsi="Arial" w:cs="Arial"/>
          <w:color w:val="000000"/>
          <w:sz w:val="21"/>
        </w:rPr>
        <w:t xml:space="preserve"> Abrahamian, Ervand. Page 150 </w:t>
      </w:r>
    </w:p>
    <w:p w14:paraId="104AFB81" w14:textId="77777777" w:rsidR="0062366E" w:rsidRDefault="00000000">
      <w:pPr>
        <w:ind w:left="-15" w:firstLine="0"/>
      </w:pPr>
      <w:r>
        <w:t xml:space="preserve"> While ambitious, these reforms deepened divisions within Iranian society and alienated key  social groups. </w:t>
      </w:r>
    </w:p>
    <w:p w14:paraId="279F4E0B" w14:textId="77777777" w:rsidR="0062366E" w:rsidRDefault="00000000">
      <w:pPr>
        <w:ind w:left="-15"/>
      </w:pPr>
      <w:r>
        <w:t xml:space="preserve"> Urbanization and rapid modernization came at the expense of deeply rooted traditions  and established economic networks. The clergy, long respected as moral and spiritual leaders,  found their influence generally ignored under the Shah’s regime which aggressively secularized  Iranian society. Traditional Islamic values were sidelined in favor of Western cultural norms  under the Shah, creating widespread resentment among conservative religious communities.  Similarly, the bazaaris, who formed the backbone of Iran’s traditional economy, suffered as  state-led industrialization prioritized large-scale corporate ventures and foreign partnerships</w:t>
      </w:r>
      <w:r>
        <w:rPr>
          <w:sz w:val="22"/>
          <w:vertAlign w:val="superscript"/>
        </w:rPr>
        <w:t xml:space="preserve"> </w:t>
      </w:r>
      <w:r>
        <w:rPr>
          <w:sz w:val="22"/>
          <w:vertAlign w:val="superscript"/>
        </w:rPr>
        <w:footnoteReference w:id="4"/>
      </w:r>
      <w:r>
        <w:t xml:space="preserve"> </w:t>
      </w:r>
      <w:r>
        <w:rPr>
          <w:sz w:val="22"/>
          <w:vertAlign w:val="superscript"/>
        </w:rPr>
        <w:t xml:space="preserve"> </w:t>
      </w:r>
      <w:r>
        <w:t xml:space="preserve"> .  Their businesses, rooted in localized trade networks and traditional industries, were inexorably  damaged by the Shah’s push for centralized economic control and modernization. This created a perception that the Shah favored foreign interests and Westernized elites over the established </w:t>
      </w:r>
      <w:r>
        <w:tab/>
        <w:t xml:space="preserve">  middle class. </w:t>
      </w:r>
    </w:p>
    <w:p w14:paraId="2581CF18" w14:textId="77777777" w:rsidR="0062366E" w:rsidRDefault="00000000">
      <w:pPr>
        <w:ind w:left="-15"/>
      </w:pPr>
      <w:r>
        <w:t xml:space="preserve"> The surge in oil revenues during the 1970s and the inability of the Shah’s regime to react  to the threats to his people and to himself compounded these grievances</w:t>
      </w:r>
      <w:r>
        <w:rPr>
          <w:sz w:val="22"/>
          <w:vertAlign w:val="superscript"/>
        </w:rPr>
        <w:t xml:space="preserve"> </w:t>
      </w:r>
      <w:r>
        <w:rPr>
          <w:sz w:val="22"/>
          <w:vertAlign w:val="superscript"/>
        </w:rPr>
        <w:footnoteReference w:id="5"/>
      </w:r>
      <w:r>
        <w:t xml:space="preserve"> </w:t>
      </w:r>
      <w:r>
        <w:rPr>
          <w:sz w:val="22"/>
          <w:vertAlign w:val="superscript"/>
        </w:rPr>
        <w:t xml:space="preserve"> </w:t>
      </w:r>
      <w:r>
        <w:t xml:space="preserve"> . While the oil boom  enriched the state and urban elites, the wealth rarely trickled down to traditional sectors like the  bazaar economy or rural industries. The Shah’s neglect of agriculture and small businesses  further alienated rural communities and urban middle-class merchants alike</w:t>
      </w:r>
      <w:r>
        <w:rPr>
          <w:sz w:val="22"/>
          <w:vertAlign w:val="superscript"/>
        </w:rPr>
        <w:t xml:space="preserve"> </w:t>
      </w:r>
      <w:r>
        <w:rPr>
          <w:sz w:val="22"/>
          <w:vertAlign w:val="superscript"/>
        </w:rPr>
        <w:footnoteReference w:id="6"/>
      </w:r>
      <w:r>
        <w:t xml:space="preserve"> </w:t>
      </w:r>
      <w:r>
        <w:rPr>
          <w:sz w:val="22"/>
          <w:vertAlign w:val="superscript"/>
        </w:rPr>
        <w:t xml:space="preserve"> </w:t>
      </w:r>
      <w:r>
        <w:t xml:space="preserve"> . These groups,  which had once been pillars of stability in Iranian society, now found themselves economically  sidelined and culturally estranged. This broad spectrum of discontent, spanning rural farmers,  urban bazaaris, and the influential clergy, fueled a growing sense of inequality and disillusionment with the Shah’s vision for Iran. Ultimately, this resentment became the unifying </w:t>
      </w:r>
      <w:r>
        <w:tab/>
        <w:t xml:space="preserve">  force for opposition, contributing to the revolutionary momentum that swept through the country  in the late 1970s. </w:t>
      </w:r>
    </w:p>
    <w:p w14:paraId="7FF2900D" w14:textId="77777777" w:rsidR="0062366E" w:rsidRDefault="00000000">
      <w:pPr>
        <w:ind w:left="-15"/>
      </w:pPr>
      <w:r>
        <w:t xml:space="preserve"> The Shah’s policies and government structure succeeded in alienating the most influential  and populous factions of his society, including the middle class, rural farmers, and clerics—a  critical factor that, more than any other, led to his downfall</w:t>
      </w:r>
      <w:r>
        <w:rPr>
          <w:sz w:val="22"/>
          <w:vertAlign w:val="superscript"/>
        </w:rPr>
        <w:t xml:space="preserve"> </w:t>
      </w:r>
      <w:r>
        <w:rPr>
          <w:sz w:val="22"/>
          <w:vertAlign w:val="superscript"/>
        </w:rPr>
        <w:footnoteReference w:id="7"/>
      </w:r>
      <w:r>
        <w:t xml:space="preserve"> </w:t>
      </w:r>
      <w:r>
        <w:rPr>
          <w:sz w:val="22"/>
          <w:vertAlign w:val="superscript"/>
        </w:rPr>
        <w:t xml:space="preserve"> </w:t>
      </w:r>
      <w:r>
        <w:t xml:space="preserve"> . Due to this growing anti-Shah  sentiment, the regime intensified its suppression of dissent and political freedoms. The Shah’s  intelligence and security organization, SAVAK, played a pivotal role in this crackdown, targeting  those who opposed the Shah and his policies</w:t>
      </w:r>
      <w:r>
        <w:rPr>
          <w:sz w:val="22"/>
          <w:vertAlign w:val="superscript"/>
        </w:rPr>
        <w:footnoteReference w:id="8"/>
      </w:r>
      <w:r>
        <w:rPr>
          <w:sz w:val="22"/>
          <w:vertAlign w:val="superscript"/>
        </w:rPr>
        <w:t xml:space="preserve"> </w:t>
      </w:r>
      <w:r>
        <w:t xml:space="preserve"> </w:t>
      </w:r>
      <w:r>
        <w:rPr>
          <w:sz w:val="22"/>
          <w:vertAlign w:val="superscript"/>
        </w:rPr>
        <w:t xml:space="preserve"> </w:t>
      </w:r>
      <w:r>
        <w:t xml:space="preserve"> . Their methods included mass censorship,  expanded control over public spaces, and the use of intimidation and torture to silence dissent</w:t>
      </w:r>
      <w:r>
        <w:rPr>
          <w:sz w:val="22"/>
          <w:vertAlign w:val="superscript"/>
        </w:rPr>
        <w:t xml:space="preserve"> </w:t>
      </w:r>
      <w:r>
        <w:rPr>
          <w:sz w:val="22"/>
          <w:vertAlign w:val="superscript"/>
        </w:rPr>
        <w:footnoteReference w:id="9"/>
      </w:r>
      <w:r>
        <w:t xml:space="preserve"> </w:t>
      </w:r>
      <w:r>
        <w:rPr>
          <w:sz w:val="22"/>
          <w:vertAlign w:val="superscript"/>
        </w:rPr>
        <w:t xml:space="preserve"> </w:t>
      </w:r>
      <w:r>
        <w:t xml:space="preserve"> .  These methods greatly hindered Iranian freedoms and ability to feel safe in their own country. By the late-1970s, oil prices had declined, and the Shah’s excessive spending on westernization </w:t>
      </w:r>
      <w:r>
        <w:tab/>
        <w:t xml:space="preserve">  projects triggered a sudden economic downturn</w:t>
      </w:r>
      <w:r>
        <w:rPr>
          <w:sz w:val="22"/>
          <w:vertAlign w:val="superscript"/>
        </w:rPr>
        <w:t xml:space="preserve"> </w:t>
      </w:r>
      <w:r>
        <w:rPr>
          <w:sz w:val="22"/>
          <w:vertAlign w:val="superscript"/>
        </w:rPr>
        <w:footnoteReference w:id="10"/>
      </w:r>
      <w:r>
        <w:t xml:space="preserve"> </w:t>
      </w:r>
      <w:r>
        <w:rPr>
          <w:sz w:val="22"/>
          <w:vertAlign w:val="superscript"/>
        </w:rPr>
        <w:t xml:space="preserve"> </w:t>
      </w:r>
      <w:r>
        <w:t xml:space="preserve"> . The effects were further exacerbated as  thousands went on strike against the Shah’s regime</w:t>
      </w:r>
      <w:r>
        <w:rPr>
          <w:sz w:val="22"/>
          <w:vertAlign w:val="superscript"/>
        </w:rPr>
        <w:t xml:space="preserve"> </w:t>
      </w:r>
      <w:r>
        <w:rPr>
          <w:sz w:val="22"/>
          <w:vertAlign w:val="superscript"/>
        </w:rPr>
        <w:footnoteReference w:id="11"/>
      </w:r>
      <w:r>
        <w:t xml:space="preserve"> </w:t>
      </w:r>
      <w:r>
        <w:rPr>
          <w:sz w:val="22"/>
          <w:vertAlign w:val="superscript"/>
        </w:rPr>
        <w:t xml:space="preserve"> </w:t>
      </w:r>
      <w:r>
        <w:t xml:space="preserve"> . Shortly afterwards, the lifestyles of the  Iranian people took a nosedive. As Frances Fitzgerald, a jewish Iranian living in Iran at the time  stated, “</w:t>
      </w:r>
      <w:r>
        <w:rPr>
          <w:color w:val="000000"/>
        </w:rPr>
        <w:t xml:space="preserve"> In the pre-revolution era, my family would dine at fine restaurants, followed by coffee,  tea, and pastries in the lobby of one of the high end international hotels. … Now dad will leave  the house at six in the morning to stand in line to ensure that we get his hands on basic dietary  needs.”</w:t>
      </w:r>
      <w:r>
        <w:rPr>
          <w:color w:val="000000"/>
          <w:sz w:val="22"/>
          <w:vertAlign w:val="superscript"/>
        </w:rPr>
        <w:t xml:space="preserve"> </w:t>
      </w:r>
      <w:r>
        <w:rPr>
          <w:color w:val="000000"/>
          <w:sz w:val="22"/>
          <w:vertAlign w:val="superscript"/>
        </w:rPr>
        <w:footnoteReference w:id="12"/>
      </w:r>
      <w:r>
        <w:rPr>
          <w:color w:val="000000"/>
        </w:rPr>
        <w:t xml:space="preserve"> </w:t>
      </w:r>
      <w:r>
        <w:rPr>
          <w:color w:val="000000"/>
          <w:sz w:val="22"/>
          <w:vertAlign w:val="superscript"/>
        </w:rPr>
        <w:t xml:space="preserve"> </w:t>
      </w:r>
      <w:r>
        <w:rPr>
          <w:color w:val="000000"/>
        </w:rPr>
        <w:t xml:space="preserve"> This established the Shah as an authoritarian dictator because his subjects relied on him for basic needs. People were done with the Shah’s regime that limited their freedoms, strayed </w:t>
      </w:r>
      <w:r>
        <w:rPr>
          <w:color w:val="000000"/>
        </w:rPr>
        <w:tab/>
        <w:t xml:space="preserve">  from their religious beliefs, and generally made their lives harder. </w:t>
      </w:r>
    </w:p>
    <w:p w14:paraId="178D35BE" w14:textId="77777777" w:rsidR="0062366E" w:rsidRDefault="00000000">
      <w:pPr>
        <w:spacing w:after="414" w:line="386" w:lineRule="auto"/>
        <w:ind w:left="-15" w:firstLine="720"/>
      </w:pPr>
      <w:r>
        <w:rPr>
          <w:color w:val="000000"/>
        </w:rPr>
        <w:t xml:space="preserve">Thus emerges the unifying figure of the revolution, Ayatollah Khomeini. Khomeini was </w:t>
      </w:r>
      <w:r>
        <w:rPr>
          <w:color w:val="000000"/>
        </w:rPr>
        <w:tab/>
        <w:t xml:space="preserve"> initially exiled after he spoke out very publicly and very personally against the Shah </w:t>
      </w:r>
      <w:r>
        <w:rPr>
          <w:color w:val="000000"/>
        </w:rPr>
        <w:tab/>
      </w:r>
      <w:r>
        <w:rPr>
          <w:color w:val="000000"/>
          <w:sz w:val="22"/>
          <w:vertAlign w:val="superscript"/>
        </w:rPr>
        <w:footnoteReference w:id="13"/>
      </w:r>
      <w:r>
        <w:rPr>
          <w:color w:val="000000"/>
          <w:sz w:val="22"/>
          <w:vertAlign w:val="superscript"/>
        </w:rPr>
        <w:t xml:space="preserve"> </w:t>
      </w:r>
      <w:r>
        <w:rPr>
          <w:color w:val="000000"/>
        </w:rPr>
        <w:t xml:space="preserve"> </w:t>
      </w:r>
      <w:r>
        <w:rPr>
          <w:color w:val="000000"/>
          <w:sz w:val="22"/>
          <w:vertAlign w:val="superscript"/>
        </w:rPr>
        <w:t xml:space="preserve"> </w:t>
      </w:r>
      <w:r>
        <w:rPr>
          <w:color w:val="000000"/>
        </w:rPr>
        <w:t xml:space="preserve">but the </w:t>
      </w:r>
      <w:r>
        <w:rPr>
          <w:color w:val="000000"/>
        </w:rPr>
        <w:tab/>
        <w:t xml:space="preserve"> Shah would soon wish Khomeini was instead arrested or executed. Khomeini fostered a </w:t>
      </w:r>
      <w:r>
        <w:rPr>
          <w:color w:val="000000"/>
        </w:rPr>
        <w:tab/>
        <w:t xml:space="preserve"> charismatic legitimacy and his voice became the glue that unified the revolution against the </w:t>
      </w:r>
      <w:r>
        <w:rPr>
          <w:color w:val="000000"/>
        </w:rPr>
        <w:tab/>
        <w:t xml:space="preserve"> Shah, framing his regime as oppressive, un-Islamic, and western. His voice appealed to a wide </w:t>
      </w:r>
      <w:r>
        <w:rPr>
          <w:color w:val="000000"/>
        </w:rPr>
        <w:tab/>
        <w:t xml:space="preserve"> range of political forces stating, “We want to improve not only your material life, but also your </w:t>
      </w:r>
      <w:r>
        <w:rPr>
          <w:color w:val="000000"/>
        </w:rPr>
        <w:tab/>
        <w:t xml:space="preserve"> spiritual life. They have taken our spirituality. We need spirituality in our government, the </w:t>
      </w:r>
      <w:r>
        <w:rPr>
          <w:color w:val="000000"/>
        </w:rPr>
        <w:tab/>
        <w:t xml:space="preserve"> Clergies will not govern, but will help you with your spirituality. In our government, women will </w:t>
      </w:r>
      <w:r>
        <w:rPr>
          <w:color w:val="000000"/>
        </w:rPr>
        <w:tab/>
        <w:t xml:space="preserve"> be free, and officials can be publicly criticized.” </w:t>
      </w:r>
      <w:r>
        <w:rPr>
          <w:color w:val="000000"/>
        </w:rPr>
        <w:tab/>
      </w:r>
      <w:r>
        <w:rPr>
          <w:color w:val="000000"/>
          <w:sz w:val="22"/>
          <w:vertAlign w:val="superscript"/>
        </w:rPr>
        <w:t xml:space="preserve"> </w:t>
      </w:r>
      <w:r>
        <w:rPr>
          <w:color w:val="000000"/>
          <w:sz w:val="22"/>
          <w:vertAlign w:val="superscript"/>
        </w:rPr>
        <w:footnoteReference w:id="14"/>
      </w:r>
      <w:r>
        <w:rPr>
          <w:color w:val="000000"/>
        </w:rPr>
        <w:t xml:space="preserve"> </w:t>
      </w:r>
      <w:r>
        <w:rPr>
          <w:color w:val="000000"/>
          <w:sz w:val="22"/>
          <w:vertAlign w:val="superscript"/>
        </w:rPr>
        <w:t xml:space="preserve"> </w:t>
      </w:r>
      <w:r>
        <w:rPr>
          <w:color w:val="000000"/>
        </w:rPr>
        <w:t xml:space="preserve">This catalyzed the revolution as anti-Shah and </w:t>
      </w:r>
      <w:r>
        <w:rPr>
          <w:color w:val="000000"/>
        </w:rPr>
        <w:tab/>
        <w:t xml:space="preserve">  pro-freedom. Soon 2500 years of dynastic rule was replaced by an Islamic State led by Ayatollah  Khomeini. </w:t>
      </w:r>
    </w:p>
    <w:p w14:paraId="1F53669C" w14:textId="77777777" w:rsidR="0062366E" w:rsidRDefault="00000000">
      <w:pPr>
        <w:spacing w:after="114" w:line="259" w:lineRule="auto"/>
        <w:ind w:left="-5" w:hanging="10"/>
      </w:pPr>
      <w:r>
        <w:rPr>
          <w:b/>
          <w:color w:val="000000"/>
        </w:rPr>
        <w:t xml:space="preserve"> The Islamic State </w:t>
      </w:r>
    </w:p>
    <w:p w14:paraId="5D942511" w14:textId="77777777" w:rsidR="0062366E" w:rsidRDefault="00000000">
      <w:pPr>
        <w:ind w:left="-15" w:firstLine="0"/>
      </w:pPr>
      <w:r>
        <w:t xml:space="preserve"> After Mohammad Reza Shah left Iran, never to return, Ayatollah Khomeini returned after 15  years in exile and immediately went to work creating an Islamic state</w:t>
      </w:r>
      <w:r>
        <w:rPr>
          <w:sz w:val="22"/>
          <w:vertAlign w:val="superscript"/>
        </w:rPr>
        <w:footnoteReference w:id="15"/>
      </w:r>
      <w:r>
        <w:rPr>
          <w:sz w:val="22"/>
          <w:vertAlign w:val="superscript"/>
        </w:rPr>
        <w:t xml:space="preserve"> </w:t>
      </w:r>
      <w:r>
        <w:t xml:space="preserve"> </w:t>
      </w:r>
      <w:r>
        <w:rPr>
          <w:sz w:val="22"/>
          <w:vertAlign w:val="superscript"/>
        </w:rPr>
        <w:t xml:space="preserve"> </w:t>
      </w:r>
      <w:r>
        <w:t xml:space="preserve"> . This new regime, headed  by the Supreme Leader of the Islamic Republic of Iran, represented a fundamental upending of  the status quo political order in the Middle East and was diametrically opposed, ideologically  and governmentally, to the Western-aligned monarchy of the previous Shah. The Shah’s regime  emphasized modernization and secular governance, prioritizing rapid economic development and  industrialization that often widened the gap between the wealthy elite and the working poor. In  contrast, the Islamic Republic implemented populist economic policies, redistributing resources in favor of the poor through land reforms and increased subsidies, presenting itself as a </w:t>
      </w:r>
      <w:r>
        <w:tab/>
        <w:t xml:space="preserve">  government for the dispossessed. </w:t>
      </w:r>
    </w:p>
    <w:p w14:paraId="175EF870" w14:textId="77777777" w:rsidR="0062366E" w:rsidRDefault="00000000">
      <w:pPr>
        <w:ind w:left="-15"/>
      </w:pPr>
      <w:r>
        <w:t xml:space="preserve"> The resulting regime was a theocratic-authoritarian hybrid that incorporated elections, but  ultimate power resided in the hands of the Supreme Leader, Guardian Council, and the Assembly  of Experts</w:t>
      </w:r>
      <w:r>
        <w:rPr>
          <w:sz w:val="22"/>
          <w:vertAlign w:val="superscript"/>
        </w:rPr>
        <w:t xml:space="preserve"> </w:t>
      </w:r>
      <w:r>
        <w:rPr>
          <w:sz w:val="22"/>
          <w:vertAlign w:val="superscript"/>
        </w:rPr>
        <w:footnoteReference w:id="16"/>
      </w:r>
      <w:r>
        <w:t xml:space="preserve"> </w:t>
      </w:r>
      <w:r>
        <w:rPr>
          <w:sz w:val="22"/>
          <w:vertAlign w:val="superscript"/>
        </w:rPr>
        <w:t xml:space="preserve"> </w:t>
      </w:r>
      <w:r>
        <w:t xml:space="preserve"> . As a result, Islamic beliefs were fused into the government, replacing the Shah’s  secular legal systems with Sharia-based governance</w:t>
      </w:r>
      <w:r>
        <w:rPr>
          <w:sz w:val="22"/>
          <w:vertAlign w:val="superscript"/>
        </w:rPr>
        <w:t xml:space="preserve"> </w:t>
      </w:r>
      <w:r>
        <w:rPr>
          <w:sz w:val="22"/>
          <w:vertAlign w:val="superscript"/>
        </w:rPr>
        <w:footnoteReference w:id="17"/>
      </w:r>
      <w:r>
        <w:t xml:space="preserve"> </w:t>
      </w:r>
      <w:r>
        <w:rPr>
          <w:sz w:val="22"/>
          <w:vertAlign w:val="superscript"/>
        </w:rPr>
        <w:t xml:space="preserve"> </w:t>
      </w:r>
      <w:r>
        <w:t xml:space="preserve">. One such policy was the increased role of </w:t>
      </w:r>
      <w:r>
        <w:tab/>
        <w:t xml:space="preserve">  religion in education and culture. Religious instruction became a cornerstone of the education  system, and cultural activities were reshaped to align with Islamic principles, signaling the fusion of governance with religious ideology. The concept of </w:t>
      </w:r>
      <w:r>
        <w:tab/>
        <w:t xml:space="preserve"> </w:t>
      </w:r>
      <w:r>
        <w:rPr>
          <w:i/>
        </w:rPr>
        <w:t xml:space="preserve">Velayat-e Faqih </w:t>
      </w:r>
      <w:r>
        <w:rPr>
          <w:i/>
        </w:rPr>
        <w:tab/>
        <w:t xml:space="preserve"> </w:t>
      </w:r>
      <w:r>
        <w:t xml:space="preserve"> (Rule of the Jurist), which refers to the idea that an Islamic jurist, or faqih (in Iran, this is the Supreme Leader), should hold </w:t>
      </w:r>
      <w:r>
        <w:tab/>
        <w:t xml:space="preserve">  guardianship and authority over society to ensure governance in accordance with Islamic  principles, became central to this transformation</w:t>
      </w:r>
      <w:r>
        <w:rPr>
          <w:sz w:val="22"/>
          <w:vertAlign w:val="superscript"/>
        </w:rPr>
        <w:t xml:space="preserve"> </w:t>
      </w:r>
      <w:r>
        <w:rPr>
          <w:sz w:val="22"/>
          <w:vertAlign w:val="superscript"/>
        </w:rPr>
        <w:footnoteReference w:id="18"/>
      </w:r>
      <w:r>
        <w:t xml:space="preserve"> </w:t>
      </w:r>
      <w:r>
        <w:rPr>
          <w:sz w:val="22"/>
          <w:vertAlign w:val="superscript"/>
        </w:rPr>
        <w:t xml:space="preserve"> </w:t>
      </w:r>
      <w:r>
        <w:t xml:space="preserve">. This consolidation of power, while </w:t>
      </w:r>
      <w:r>
        <w:tab/>
        <w:t xml:space="preserve"> reminiscent of the Shah’s autocratic rule, was unique due to its deep combinations of political </w:t>
      </w:r>
      <w:r>
        <w:tab/>
        <w:t xml:space="preserve"> authority with religious doctrine. It allowed the government’s influence to extend into the </w:t>
      </w:r>
      <w:r>
        <w:tab/>
        <w:t xml:space="preserve"> day-to-day lives of Iranian citizens, especially for women. From mandatory dress codes requiring </w:t>
      </w:r>
      <w:r>
        <w:tab/>
        <w:t xml:space="preserve">  women to wear head coverings to restrictions on their professional roles, such as barring them  from becoming judges</w:t>
      </w:r>
      <w:r>
        <w:rPr>
          <w:sz w:val="22"/>
          <w:vertAlign w:val="superscript"/>
        </w:rPr>
        <w:t xml:space="preserve"> </w:t>
      </w:r>
      <w:r>
        <w:rPr>
          <w:sz w:val="22"/>
          <w:vertAlign w:val="superscript"/>
        </w:rPr>
        <w:footnoteReference w:id="19"/>
      </w:r>
      <w:r>
        <w:t xml:space="preserve"> </w:t>
      </w:r>
      <w:r>
        <w:rPr>
          <w:sz w:val="22"/>
          <w:vertAlign w:val="superscript"/>
        </w:rPr>
        <w:t xml:space="preserve"> </w:t>
      </w:r>
      <w:r>
        <w:t xml:space="preserve"> . However, they maintained their ability to vote due to their large and  undeniable role in the revolution. In addition to the Supreme Leader, the Guardian Council clears  those who can run for office and vetoes laws passed if they’re too unislamic. While the outcomes  of voting in Iran were mostly fair, elections in the Islamic Republic were tightly controlled, with  limited choices and significant oversight, undermining the promise of genuine political  freedom</w:t>
      </w:r>
      <w:r>
        <w:rPr>
          <w:sz w:val="22"/>
          <w:vertAlign w:val="superscript"/>
        </w:rPr>
        <w:t xml:space="preserve"> </w:t>
      </w:r>
      <w:r>
        <w:rPr>
          <w:sz w:val="22"/>
          <w:vertAlign w:val="superscript"/>
        </w:rPr>
        <w:footnoteReference w:id="20"/>
      </w:r>
      <w:r>
        <w:t xml:space="preserve"> </w:t>
      </w:r>
      <w:r>
        <w:rPr>
          <w:sz w:val="22"/>
          <w:vertAlign w:val="superscript"/>
        </w:rPr>
        <w:t xml:space="preserve"> </w:t>
      </w:r>
      <w:r>
        <w:t xml:space="preserve"> . To address potential conflicts between legislation and religious doctrine, a third  council, the Expediency Discernment Council, was established with the authority to override  vetoes from the Guardian Council. Despite such mechanisms, the new regime fell short of the  ideals that had inspired the revolution, leaving many of its promises unfulfilled. This reality starkly contrasted with Khomeini’s early assurances of universal freedom, as the government </w:t>
      </w:r>
      <w:r>
        <w:tab/>
        <w:t xml:space="preserve">  transformed into a theocratic-totalitarian state. </w:t>
      </w:r>
    </w:p>
    <w:p w14:paraId="316D8C72" w14:textId="77777777" w:rsidR="0062366E" w:rsidRDefault="00000000">
      <w:pPr>
        <w:ind w:left="-15"/>
      </w:pPr>
      <w:r>
        <w:t xml:space="preserve"> One of the most dramatic differences between the regime of the Shah and that of the  Iranian Islamic Republic was their stance on foreign policy and the dramatic regional instability  introduced by the new regime. The Shah’s regime emphasized modernization and a stronger  alignment with the United States and Israel, while the Islamic Republic rejected Western  influence and aimed to export the Islamic revolution across the region</w:t>
      </w:r>
      <w:r>
        <w:rPr>
          <w:sz w:val="22"/>
          <w:vertAlign w:val="superscript"/>
        </w:rPr>
        <w:t xml:space="preserve"> 30</w:t>
      </w:r>
      <w:r>
        <w:t xml:space="preserve"> </w:t>
      </w:r>
      <w:r>
        <w:rPr>
          <w:sz w:val="22"/>
          <w:vertAlign w:val="superscript"/>
        </w:rPr>
        <w:t xml:space="preserve"> </w:t>
      </w:r>
      <w:r>
        <w:t xml:space="preserve"> . This ideological  transformation alarmed neighboring Sunni-majority states, particularly Iraq, where Saddam  Hussein feared the spread of Shia revolutionary fervor among Iraq’s marginalized Shia  population could lead to a revolution similar to the one Iran just experienced</w:t>
      </w:r>
      <w:r>
        <w:rPr>
          <w:sz w:val="22"/>
          <w:vertAlign w:val="superscript"/>
        </w:rPr>
        <w:t xml:space="preserve"> </w:t>
      </w:r>
      <w:r>
        <w:rPr>
          <w:sz w:val="22"/>
          <w:vertAlign w:val="superscript"/>
        </w:rPr>
        <w:footnoteReference w:id="21"/>
      </w:r>
      <w:r>
        <w:t xml:space="preserve"> </w:t>
      </w:r>
      <w:r>
        <w:rPr>
          <w:sz w:val="22"/>
          <w:vertAlign w:val="superscript"/>
        </w:rPr>
        <w:t xml:space="preserve"> </w:t>
      </w:r>
      <w:r>
        <w:t xml:space="preserve"> . These tensions  culminated in the Iran-Iraq War (1980–1988), a devastating that damaged the Islamic state’s  legitimacy</w:t>
      </w:r>
      <w:r>
        <w:rPr>
          <w:sz w:val="22"/>
          <w:vertAlign w:val="superscript"/>
        </w:rPr>
        <w:t xml:space="preserve"> </w:t>
      </w:r>
      <w:r>
        <w:rPr>
          <w:sz w:val="22"/>
          <w:vertAlign w:val="superscript"/>
        </w:rPr>
        <w:footnoteReference w:id="22"/>
      </w:r>
      <w:r>
        <w:t xml:space="preserve"> </w:t>
      </w:r>
      <w:r>
        <w:rPr>
          <w:sz w:val="22"/>
          <w:vertAlign w:val="superscript"/>
        </w:rPr>
        <w:t xml:space="preserve"> </w:t>
      </w:r>
      <w:r>
        <w:t xml:space="preserve"> . This instability is something the Shah eerily foreshadowed in one of his last speeches to his nation, “ </w:t>
      </w:r>
      <w:r>
        <w:tab/>
      </w:r>
      <w:r>
        <w:rPr>
          <w:color w:val="000000"/>
        </w:rPr>
        <w:t xml:space="preserve"> If I go, Iran will fall into ruins, and if Iran falls, the Middle East follows. </w:t>
      </w:r>
    </w:p>
    <w:p w14:paraId="52B1CE40" w14:textId="77777777" w:rsidR="0062366E" w:rsidRDefault="00000000">
      <w:pPr>
        <w:tabs>
          <w:tab w:val="center" w:pos="7084"/>
        </w:tabs>
        <w:spacing w:after="0" w:line="386" w:lineRule="auto"/>
        <w:ind w:left="-15" w:firstLine="0"/>
      </w:pPr>
      <w:r>
        <w:rPr>
          <w:color w:val="000000"/>
        </w:rPr>
        <w:t xml:space="preserve">And if the Middle East is in ruins, great terror will reign over the world.” </w:t>
      </w:r>
      <w:r>
        <w:rPr>
          <w:color w:val="000000"/>
        </w:rPr>
        <w:tab/>
      </w:r>
      <w:r>
        <w:rPr>
          <w:color w:val="000000"/>
          <w:sz w:val="22"/>
          <w:vertAlign w:val="superscript"/>
        </w:rPr>
        <w:t xml:space="preserve"> </w:t>
      </w:r>
      <w:r>
        <w:rPr>
          <w:color w:val="000000"/>
          <w:sz w:val="22"/>
          <w:vertAlign w:val="superscript"/>
        </w:rPr>
        <w:footnoteReference w:id="23"/>
      </w:r>
      <w:r>
        <w:rPr>
          <w:color w:val="000000"/>
        </w:rPr>
        <w:t xml:space="preserve"> </w:t>
      </w:r>
      <w:r>
        <w:rPr>
          <w:color w:val="000000"/>
          <w:sz w:val="22"/>
          <w:vertAlign w:val="superscript"/>
        </w:rPr>
        <w:t xml:space="preserve"> </w:t>
      </w:r>
    </w:p>
    <w:p w14:paraId="0A42491E" w14:textId="77777777" w:rsidR="0062366E" w:rsidRDefault="00000000">
      <w:pPr>
        <w:spacing w:after="114" w:line="259" w:lineRule="auto"/>
        <w:ind w:left="-5" w:hanging="10"/>
      </w:pPr>
      <w:r>
        <w:rPr>
          <w:b/>
        </w:rPr>
        <w:t xml:space="preserve"> Conclusion - Did the revolution accomplish what it set out to? </w:t>
      </w:r>
    </w:p>
    <w:p w14:paraId="2BFBAB89" w14:textId="77777777" w:rsidR="0062366E" w:rsidRDefault="00000000">
      <w:pPr>
        <w:ind w:left="-15" w:firstLine="0"/>
      </w:pPr>
      <w:r>
        <w:t xml:space="preserve"> The fall of the final Iranian dynasty emphasizes the idea that radical economic reforms lead to  turmoil outlined by traditionalist conservatives. The rapid modernization by the Shah coupled  with political repression and the alienation of religious figures created the ideal conditions for a  social revolution. While the Shah’s regime emphasized secular modernization, the Islamic  Republic replaced it with a theocratic state that maintained authoritarian control, albeit with  different ideological backgrounds. None-the-less, the regime that the people of Iran fought for,  did not arrive. While the revolutionaries ultimately succeeded by overthrowing the Shah with  their chosen leader, the resulting regime continued to oppress Iranian citizens and greatly limited  their freedoms. Especially since the revolutionaries in Iran were made up of a complex melting  pot of factions besides Shah loyalists which included socialists, islamists, nationalists, students,  and religious minorities</w:t>
      </w:r>
      <w:r>
        <w:rPr>
          <w:sz w:val="22"/>
          <w:vertAlign w:val="superscript"/>
        </w:rPr>
        <w:t xml:space="preserve"> </w:t>
      </w:r>
      <w:r>
        <w:rPr>
          <w:sz w:val="22"/>
          <w:vertAlign w:val="superscript"/>
        </w:rPr>
        <w:footnoteReference w:id="24"/>
      </w:r>
      <w:r>
        <w:t xml:space="preserve"> </w:t>
      </w:r>
      <w:r>
        <w:rPr>
          <w:sz w:val="22"/>
          <w:vertAlign w:val="superscript"/>
        </w:rPr>
        <w:t xml:space="preserve"> </w:t>
      </w:r>
      <w:r>
        <w:t xml:space="preserve"> . These factors, as well as modern shortcomings of the regime, enabled  the contemporary falling of the Islamic State's legitimacy that exists in Iran. The revolution  reshaped not only Iran but also global politics, as it inspired Islamist movements worldwide and  redefined the region’s relationship with superpowers. Today, we’re seeing the full scale impacts  of anti-western sentiment that still exists in the Middle East. Ultimately, the Iranian Revolution fundamentally altered the nation’s political identity, replacing one form of authoritarianism with </w:t>
      </w:r>
      <w:r>
        <w:tab/>
        <w:t xml:space="preserve">  another, but remains as a symbol of resistance against foreign domination and secular  governance. </w:t>
      </w:r>
    </w:p>
    <w:sectPr w:rsidR="0062366E">
      <w:pgSz w:w="12240" w:h="15840"/>
      <w:pgMar w:top="1497" w:right="1443"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3A15B" w14:textId="77777777" w:rsidR="00D05BA4" w:rsidRDefault="00D05BA4">
      <w:pPr>
        <w:spacing w:after="0" w:line="240" w:lineRule="auto"/>
      </w:pPr>
      <w:r>
        <w:separator/>
      </w:r>
    </w:p>
  </w:endnote>
  <w:endnote w:type="continuationSeparator" w:id="0">
    <w:p w14:paraId="1FB4AFCD" w14:textId="77777777" w:rsidR="00D05BA4" w:rsidRDefault="00D05B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1806B" w14:textId="77777777" w:rsidR="00D05BA4" w:rsidRDefault="00D05BA4">
      <w:pPr>
        <w:spacing w:after="0" w:line="259" w:lineRule="auto"/>
        <w:ind w:firstLine="0"/>
      </w:pPr>
      <w:r>
        <w:separator/>
      </w:r>
    </w:p>
  </w:footnote>
  <w:footnote w:type="continuationSeparator" w:id="0">
    <w:p w14:paraId="7E421987" w14:textId="77777777" w:rsidR="00D05BA4" w:rsidRDefault="00D05BA4">
      <w:pPr>
        <w:spacing w:after="0" w:line="259" w:lineRule="auto"/>
        <w:ind w:firstLine="0"/>
      </w:pPr>
      <w:r>
        <w:continuationSeparator/>
      </w:r>
    </w:p>
  </w:footnote>
  <w:footnote w:id="1">
    <w:p w14:paraId="044DCAC1" w14:textId="77777777" w:rsidR="0062366E" w:rsidRDefault="00000000">
      <w:pPr>
        <w:pStyle w:val="footnotedescription"/>
        <w:spacing w:after="0"/>
      </w:pPr>
      <w:r>
        <w:rPr>
          <w:rStyle w:val="footnotemark"/>
        </w:rPr>
        <w:footnoteRef/>
      </w:r>
      <w:r>
        <w:t xml:space="preserve"> </w:t>
      </w:r>
      <w:r>
        <w:rPr>
          <w:sz w:val="21"/>
        </w:rPr>
        <w:t xml:space="preserve">Abrahamian, Ervand. </w:t>
      </w:r>
      <w:r>
        <w:rPr>
          <w:i/>
          <w:sz w:val="21"/>
        </w:rPr>
        <w:t xml:space="preserve"> A History of Modern Iran</w:t>
      </w:r>
      <w:r>
        <w:rPr>
          <w:sz w:val="21"/>
        </w:rPr>
        <w:t xml:space="preserve"> , Page  123, Cambridge University Press, 2008. </w:t>
      </w:r>
    </w:p>
    <w:p w14:paraId="3767FAD9" w14:textId="77777777" w:rsidR="0062366E" w:rsidRDefault="00000000">
      <w:pPr>
        <w:pStyle w:val="footnotedescription"/>
        <w:spacing w:after="0"/>
      </w:pPr>
      <w:r>
        <w:rPr>
          <w:i/>
          <w:sz w:val="21"/>
        </w:rPr>
        <w:t xml:space="preserve"> ProQuest Ebook Central</w:t>
      </w:r>
      <w:r>
        <w:rPr>
          <w:sz w:val="21"/>
        </w:rPr>
        <w:t xml:space="preserve"> , https://ebookcentral.proquest.com/lib/bu/detail.action?docID=352961. </w:t>
      </w:r>
    </w:p>
  </w:footnote>
  <w:footnote w:id="2">
    <w:p w14:paraId="2B0F1B2B" w14:textId="77777777" w:rsidR="0062366E" w:rsidRDefault="00000000">
      <w:pPr>
        <w:pStyle w:val="footnotedescription"/>
        <w:spacing w:after="23"/>
      </w:pPr>
      <w:r>
        <w:rPr>
          <w:rStyle w:val="footnotemark"/>
        </w:rPr>
        <w:footnoteRef/>
      </w:r>
      <w:r>
        <w:t xml:space="preserve"> Wiser World Podcast, Episode 16, </w:t>
      </w:r>
    </w:p>
    <w:p w14:paraId="7D920D45" w14:textId="77777777" w:rsidR="0062366E" w:rsidRDefault="00000000">
      <w:pPr>
        <w:pStyle w:val="footnotedescription"/>
        <w:spacing w:after="26" w:line="237" w:lineRule="auto"/>
        <w:ind w:right="1730"/>
        <w:jc w:val="both"/>
      </w:pPr>
      <w:r>
        <w:t xml:space="preserve"> https://open.spotify.com/episode/09Q9pfz6zRzPDDkmyYJQZ4?si=26e787240ab442f3 </w:t>
      </w:r>
      <w:r>
        <w:rPr>
          <w:sz w:val="18"/>
          <w:vertAlign w:val="superscript"/>
        </w:rPr>
        <w:t xml:space="preserve"> 3 </w:t>
      </w:r>
      <w:r>
        <w:rPr>
          <w:sz w:val="21"/>
        </w:rPr>
        <w:t xml:space="preserve"> Abrahamian, Ervand. Page 123 </w:t>
      </w:r>
      <w:r>
        <w:rPr>
          <w:vertAlign w:val="superscript"/>
        </w:rPr>
        <w:t xml:space="preserve"> 4 </w:t>
      </w:r>
      <w:r>
        <w:t xml:space="preserve"> Wiser World Podcast, Episode 16 </w:t>
      </w:r>
    </w:p>
  </w:footnote>
  <w:footnote w:id="3">
    <w:p w14:paraId="6714094C" w14:textId="77777777" w:rsidR="0062366E" w:rsidRDefault="00000000">
      <w:pPr>
        <w:pStyle w:val="footnotedescription"/>
        <w:spacing w:after="0"/>
      </w:pPr>
      <w:r>
        <w:rPr>
          <w:rStyle w:val="footnotemark"/>
        </w:rPr>
        <w:footnoteRef/>
      </w:r>
      <w:r>
        <w:t xml:space="preserve"> </w:t>
      </w:r>
      <w:r>
        <w:rPr>
          <w:sz w:val="21"/>
        </w:rPr>
        <w:t xml:space="preserve">Abrahamian, Ervand. Page 123 </w:t>
      </w:r>
    </w:p>
  </w:footnote>
  <w:footnote w:id="4">
    <w:p w14:paraId="06B5A4C5" w14:textId="77777777" w:rsidR="0062366E" w:rsidRDefault="00000000">
      <w:pPr>
        <w:pStyle w:val="footnotedescription"/>
        <w:spacing w:after="9"/>
      </w:pPr>
      <w:r>
        <w:rPr>
          <w:rStyle w:val="footnotemark"/>
        </w:rPr>
        <w:footnoteRef/>
      </w:r>
      <w:r>
        <w:t xml:space="preserve"> Abrahamian, Ervand. Page 138 </w:t>
      </w:r>
    </w:p>
  </w:footnote>
  <w:footnote w:id="5">
    <w:p w14:paraId="017ECC39" w14:textId="77777777" w:rsidR="0062366E" w:rsidRDefault="00000000">
      <w:pPr>
        <w:pStyle w:val="footnotedescription"/>
        <w:tabs>
          <w:tab w:val="center" w:pos="1556"/>
        </w:tabs>
        <w:spacing w:after="10"/>
      </w:pPr>
      <w:r>
        <w:rPr>
          <w:rStyle w:val="footnotemark"/>
        </w:rPr>
        <w:footnoteRef/>
      </w:r>
      <w:r>
        <w:t xml:space="preserve"> Abrahamian, Ervand. Page 124 </w:t>
      </w:r>
    </w:p>
  </w:footnote>
  <w:footnote w:id="6">
    <w:p w14:paraId="786D5216" w14:textId="77777777" w:rsidR="0062366E" w:rsidRDefault="00000000">
      <w:pPr>
        <w:pStyle w:val="footnotedescription"/>
        <w:spacing w:after="0"/>
      </w:pPr>
      <w:r>
        <w:rPr>
          <w:rStyle w:val="footnotemark"/>
        </w:rPr>
        <w:footnoteRef/>
      </w:r>
      <w:r>
        <w:t xml:space="preserve"> Abrahamian, Ervand. Page 133 </w:t>
      </w:r>
    </w:p>
  </w:footnote>
  <w:footnote w:id="7">
    <w:p w14:paraId="14F31CB8" w14:textId="77777777" w:rsidR="0062366E" w:rsidRDefault="00000000">
      <w:pPr>
        <w:pStyle w:val="footnotedescription"/>
        <w:spacing w:after="0"/>
      </w:pPr>
      <w:r>
        <w:rPr>
          <w:rStyle w:val="footnotemark"/>
        </w:rPr>
        <w:footnoteRef/>
      </w:r>
      <w:r>
        <w:t xml:space="preserve"> Sheikhzadegan, Amir. Page 50</w:t>
      </w:r>
    </w:p>
  </w:footnote>
  <w:footnote w:id="8">
    <w:p w14:paraId="4DA16E1F" w14:textId="77777777" w:rsidR="0062366E" w:rsidRDefault="00000000">
      <w:pPr>
        <w:pStyle w:val="footnotedescription"/>
        <w:spacing w:after="4"/>
      </w:pPr>
      <w:r>
        <w:rPr>
          <w:rStyle w:val="footnotemark"/>
        </w:rPr>
        <w:footnoteRef/>
      </w:r>
      <w:r>
        <w:t xml:space="preserve"> Abrahamian, Ervand. Page 126 </w:t>
      </w:r>
    </w:p>
  </w:footnote>
  <w:footnote w:id="9">
    <w:p w14:paraId="450A8CB4" w14:textId="77777777" w:rsidR="0062366E" w:rsidRDefault="00000000">
      <w:pPr>
        <w:pStyle w:val="footnotedescription"/>
        <w:spacing w:after="4"/>
      </w:pPr>
      <w:r>
        <w:rPr>
          <w:rStyle w:val="footnotemark"/>
        </w:rPr>
        <w:footnoteRef/>
      </w:r>
      <w:r>
        <w:t xml:space="preserve"> Wiser World Podcast, Episode 17 </w:t>
      </w:r>
    </w:p>
  </w:footnote>
  <w:footnote w:id="10">
    <w:p w14:paraId="40C4AF61" w14:textId="77777777" w:rsidR="0062366E" w:rsidRDefault="00000000">
      <w:pPr>
        <w:pStyle w:val="footnotedescription"/>
        <w:spacing w:after="10"/>
      </w:pPr>
      <w:r>
        <w:rPr>
          <w:rStyle w:val="footnotemark"/>
        </w:rPr>
        <w:footnoteRef/>
      </w:r>
      <w:r>
        <w:t xml:space="preserve"> Abrahamian, Ervand. Page 141 </w:t>
      </w:r>
    </w:p>
  </w:footnote>
  <w:footnote w:id="11">
    <w:p w14:paraId="5488FBD9" w14:textId="77777777" w:rsidR="0062366E" w:rsidRDefault="00000000">
      <w:pPr>
        <w:pStyle w:val="footnotedescription"/>
        <w:tabs>
          <w:tab w:val="center" w:pos="2979"/>
        </w:tabs>
        <w:spacing w:after="6"/>
      </w:pPr>
      <w:r>
        <w:rPr>
          <w:rStyle w:val="footnotemark"/>
        </w:rPr>
        <w:footnoteRef/>
      </w:r>
      <w:r>
        <w:t xml:space="preserve"> Abrahamian, Ervand. Page 148 </w:t>
      </w:r>
      <w:r>
        <w:tab/>
        <w:t xml:space="preserve"> </w:t>
      </w:r>
    </w:p>
  </w:footnote>
  <w:footnote w:id="12">
    <w:p w14:paraId="263284FB" w14:textId="77777777" w:rsidR="0062366E" w:rsidRDefault="00000000">
      <w:pPr>
        <w:pStyle w:val="footnotedescription"/>
        <w:spacing w:after="0" w:line="282" w:lineRule="auto"/>
      </w:pPr>
      <w:r>
        <w:rPr>
          <w:rStyle w:val="footnotemark"/>
        </w:rPr>
        <w:footnoteRef/>
      </w:r>
      <w:r>
        <w:t xml:space="preserve"> Fitzgerald, Frances; “Giving the Shah Everything He Wants.” Harper’s Magazine, 1974, quoted in  Abrahamian. </w:t>
      </w:r>
    </w:p>
  </w:footnote>
  <w:footnote w:id="13">
    <w:p w14:paraId="7B246028" w14:textId="77777777" w:rsidR="0062366E" w:rsidRDefault="00000000">
      <w:pPr>
        <w:pStyle w:val="footnotedescription"/>
        <w:spacing w:after="5"/>
      </w:pPr>
      <w:r>
        <w:rPr>
          <w:rStyle w:val="footnotemark"/>
        </w:rPr>
        <w:footnoteRef/>
      </w:r>
      <w:r>
        <w:t xml:space="preserve"> Wiser World Podcast, Episod 17 </w:t>
      </w:r>
    </w:p>
  </w:footnote>
  <w:footnote w:id="14">
    <w:p w14:paraId="3D89C99B" w14:textId="77777777" w:rsidR="0062366E" w:rsidRDefault="00000000">
      <w:pPr>
        <w:pStyle w:val="footnotedescription"/>
        <w:spacing w:after="0" w:line="254" w:lineRule="auto"/>
      </w:pPr>
      <w:r>
        <w:rPr>
          <w:rStyle w:val="footnotemark"/>
        </w:rPr>
        <w:footnoteRef/>
      </w:r>
      <w:r>
        <w:t xml:space="preserve"> </w:t>
      </w:r>
      <w:r>
        <w:rPr>
          <w:color w:val="0E0E0E"/>
        </w:rPr>
        <w:t xml:space="preserve">Middle East Research and Information Project. “Khomeini: We Shall Confront the World with Our  Ideology.” </w:t>
      </w:r>
      <w:r>
        <w:rPr>
          <w:i/>
          <w:color w:val="0E0E0E"/>
        </w:rPr>
        <w:t xml:space="preserve"> MERIP Reports</w:t>
      </w:r>
      <w:r>
        <w:rPr>
          <w:color w:val="0E0E0E"/>
        </w:rPr>
        <w:t xml:space="preserve"> , no. 89, June 1980,</w:t>
      </w:r>
      <w:hyperlink r:id="rId1">
        <w:r>
          <w:rPr>
            <w:color w:val="0E0E0E"/>
          </w:rPr>
          <w:t xml:space="preserve"> </w:t>
        </w:r>
      </w:hyperlink>
      <w:r>
        <w:t xml:space="preserve"> https://merip.org/1980/06/khomeini-we-shall-confront-the-world-with-our-ideology/</w:t>
      </w:r>
      <w:r>
        <w:rPr>
          <w:color w:val="0E0E0E"/>
        </w:rPr>
        <w:t xml:space="preserve"> .  Accessed 20 Nov.  2024. </w:t>
      </w:r>
    </w:p>
  </w:footnote>
  <w:footnote w:id="15">
    <w:p w14:paraId="6A080883" w14:textId="77777777" w:rsidR="0062366E" w:rsidRDefault="00000000">
      <w:pPr>
        <w:pStyle w:val="footnotedescription"/>
        <w:spacing w:after="9"/>
      </w:pPr>
      <w:r>
        <w:rPr>
          <w:rStyle w:val="footnotemark"/>
        </w:rPr>
        <w:footnoteRef/>
      </w:r>
      <w:r>
        <w:t xml:space="preserve"> Wiser World Podcast, Episode 17 </w:t>
      </w:r>
    </w:p>
  </w:footnote>
  <w:footnote w:id="16">
    <w:p w14:paraId="513B7530" w14:textId="77777777" w:rsidR="0062366E" w:rsidRDefault="00000000">
      <w:pPr>
        <w:pStyle w:val="footnotedescription"/>
        <w:tabs>
          <w:tab w:val="center" w:pos="1556"/>
        </w:tabs>
        <w:spacing w:after="10"/>
      </w:pPr>
      <w:r>
        <w:rPr>
          <w:rStyle w:val="footnotemark"/>
        </w:rPr>
        <w:footnoteRef/>
      </w:r>
      <w:r>
        <w:t xml:space="preserve"> Abrahamian, Ervand. Page 146 </w:t>
      </w:r>
    </w:p>
  </w:footnote>
  <w:footnote w:id="17">
    <w:p w14:paraId="710B85FB" w14:textId="77777777" w:rsidR="0062366E" w:rsidRDefault="00000000">
      <w:pPr>
        <w:pStyle w:val="footnotedescription"/>
        <w:spacing w:after="0"/>
      </w:pPr>
      <w:r>
        <w:rPr>
          <w:rStyle w:val="footnotemark"/>
        </w:rPr>
        <w:footnoteRef/>
      </w:r>
      <w:r>
        <w:t xml:space="preserve"> Abrahamian, Ervand. Page 146 </w:t>
      </w:r>
    </w:p>
  </w:footnote>
  <w:footnote w:id="18">
    <w:p w14:paraId="621FDC54" w14:textId="77777777" w:rsidR="0062366E" w:rsidRDefault="00000000">
      <w:pPr>
        <w:pStyle w:val="footnotedescription"/>
        <w:spacing w:after="0"/>
      </w:pPr>
      <w:r>
        <w:rPr>
          <w:rStyle w:val="footnotemark"/>
        </w:rPr>
        <w:footnoteRef/>
      </w:r>
      <w:r>
        <w:t xml:space="preserve"> Abrahamian, Ervand. Page 146</w:t>
      </w:r>
    </w:p>
  </w:footnote>
  <w:footnote w:id="19">
    <w:p w14:paraId="7B545CCD" w14:textId="77777777" w:rsidR="0062366E" w:rsidRDefault="00000000">
      <w:pPr>
        <w:pStyle w:val="footnotedescription"/>
        <w:spacing w:after="22"/>
      </w:pPr>
      <w:r>
        <w:rPr>
          <w:rStyle w:val="footnotemark"/>
        </w:rPr>
        <w:footnoteRef/>
      </w:r>
      <w:r>
        <w:t xml:space="preserve"> Badry, R., Sheikhzadegan, A., Meier, A., Meier, A., &amp; Sheikhzadegan, A. (2017). Insurmountable </w:t>
      </w:r>
    </w:p>
    <w:p w14:paraId="6E791FF4" w14:textId="77777777" w:rsidR="0062366E" w:rsidRDefault="00000000">
      <w:pPr>
        <w:pStyle w:val="footnotedescription"/>
        <w:spacing w:after="0" w:line="240" w:lineRule="auto"/>
      </w:pPr>
      <w:r>
        <w:t xml:space="preserve"> Hurdles to the Countering of Patriarchal Gender Discourse under a Clerical Oligarchy? Experiences of  (Islamic) Feminists in the Islamic Republic of Iran (1979–2009). In </w:t>
      </w:r>
      <w:r>
        <w:rPr>
          <w:i/>
        </w:rPr>
        <w:t xml:space="preserve"> Beyond the Islamic Revolution </w:t>
      </w:r>
      <w:r>
        <w:t xml:space="preserve"> (Vol.  8,  pp. 89–111). Page 90. Walter de Gruyter GmbH. https://doi.org/10.1515/9783110399882-005 </w:t>
      </w:r>
    </w:p>
  </w:footnote>
  <w:footnote w:id="20">
    <w:p w14:paraId="37CBBAAB" w14:textId="77777777" w:rsidR="0062366E" w:rsidRDefault="00000000">
      <w:pPr>
        <w:pStyle w:val="footnotedescription"/>
        <w:spacing w:after="21" w:line="263" w:lineRule="auto"/>
        <w:ind w:right="6004"/>
      </w:pPr>
      <w:r>
        <w:rPr>
          <w:rStyle w:val="footnotemark"/>
        </w:rPr>
        <w:footnoteRef/>
      </w:r>
      <w:r>
        <w:t xml:space="preserve"> Wiser World Podcast, Episode 17 </w:t>
      </w:r>
      <w:r>
        <w:rPr>
          <w:vertAlign w:val="superscript"/>
        </w:rPr>
        <w:t xml:space="preserve"> 30 </w:t>
      </w:r>
      <w:r>
        <w:t xml:space="preserve"> Wiser World Podcast, Episode 18, </w:t>
      </w:r>
    </w:p>
    <w:p w14:paraId="1DC502AC" w14:textId="77777777" w:rsidR="0062366E" w:rsidRDefault="00000000">
      <w:pPr>
        <w:pStyle w:val="footnotedescription"/>
        <w:spacing w:after="0"/>
      </w:pPr>
      <w:r>
        <w:t xml:space="preserve"> https://open.spotify.com/episode/5awJG5eDU34bd87jl3Y9n3?si=817cb5cc3d194c39 </w:t>
      </w:r>
    </w:p>
  </w:footnote>
  <w:footnote w:id="21">
    <w:p w14:paraId="2A043E14" w14:textId="77777777" w:rsidR="0062366E" w:rsidRDefault="00000000">
      <w:pPr>
        <w:pStyle w:val="footnotedescription"/>
        <w:spacing w:after="0" w:line="285" w:lineRule="auto"/>
      </w:pPr>
      <w:r>
        <w:rPr>
          <w:rStyle w:val="footnotemark"/>
        </w:rPr>
        <w:footnoteRef/>
      </w:r>
      <w:r>
        <w:t xml:space="preserve"> Ewenstein, P., EBSCOhost, &amp; EBSCOhost. (2020). </w:t>
      </w:r>
      <w:r>
        <w:rPr>
          <w:i/>
        </w:rPr>
        <w:t xml:space="preserve"> Realism and revolution : why (some) revolutionary states go to war </w:t>
      </w:r>
      <w:r>
        <w:rPr>
          <w:i/>
        </w:rPr>
        <w:tab/>
      </w:r>
      <w:r>
        <w:t xml:space="preserve"> . Page 54. Peter Lang Publishing,  Inc. </w:t>
      </w:r>
    </w:p>
  </w:footnote>
  <w:footnote w:id="22">
    <w:p w14:paraId="7FCE4494" w14:textId="77777777" w:rsidR="0062366E" w:rsidRDefault="00000000">
      <w:pPr>
        <w:pStyle w:val="footnotedescription"/>
        <w:spacing w:after="5"/>
      </w:pPr>
      <w:r>
        <w:rPr>
          <w:rStyle w:val="footnotemark"/>
        </w:rPr>
        <w:footnoteRef/>
      </w:r>
      <w:r>
        <w:t xml:space="preserve"> Ewenstein, Paul, Page 55 </w:t>
      </w:r>
    </w:p>
  </w:footnote>
  <w:footnote w:id="23">
    <w:p w14:paraId="2729CE43" w14:textId="77777777" w:rsidR="0062366E" w:rsidRDefault="00000000">
      <w:pPr>
        <w:pStyle w:val="footnotedescription"/>
        <w:spacing w:after="0"/>
      </w:pPr>
      <w:r>
        <w:rPr>
          <w:rStyle w:val="footnotemark"/>
        </w:rPr>
        <w:footnoteRef/>
      </w:r>
      <w:r>
        <w:t xml:space="preserve"> </w:t>
      </w:r>
      <w:r>
        <w:rPr>
          <w:color w:val="0E0E0E"/>
        </w:rPr>
        <w:t xml:space="preserve">Afkhami, Gholam Reza. Pp. 357 </w:t>
      </w:r>
    </w:p>
  </w:footnote>
  <w:footnote w:id="24">
    <w:p w14:paraId="09DABAC8" w14:textId="77777777" w:rsidR="0062366E" w:rsidRDefault="00000000">
      <w:pPr>
        <w:pStyle w:val="footnotedescription"/>
        <w:spacing w:after="0"/>
      </w:pPr>
      <w:r>
        <w:rPr>
          <w:rStyle w:val="footnotemark"/>
        </w:rPr>
        <w:footnoteRef/>
      </w:r>
      <w:r>
        <w:t xml:space="preserve"> Abrahamian, Ervand. Page 148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072A88"/>
    <w:multiLevelType w:val="hybridMultilevel"/>
    <w:tmpl w:val="B0763066"/>
    <w:lvl w:ilvl="0" w:tplc="2402E1AC">
      <w:start w:val="6"/>
      <w:numFmt w:val="decimal"/>
      <w:lvlText w:val="%1"/>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1" w:tplc="32181E8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2" w:tplc="667C387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3" w:tplc="AB3C9EC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4" w:tplc="BACA662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5" w:tplc="B0961AC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6" w:tplc="20BC0FE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7" w:tplc="72B05FB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8" w:tplc="8920109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abstractNum>
  <w:num w:numId="1" w16cid:durableId="309988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66E"/>
    <w:rsid w:val="004F23BC"/>
    <w:rsid w:val="0062366E"/>
    <w:rsid w:val="00D05BA4"/>
    <w:rsid w:val="00E56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33501F"/>
  <w15:docId w15:val="{316D45A1-55E3-D745-9A36-2C1BFA5C0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67" w:lineRule="auto"/>
      <w:ind w:firstLine="710"/>
    </w:pPr>
    <w:rPr>
      <w:rFonts w:ascii="Times New Roman" w:eastAsia="Times New Roman" w:hAnsi="Times New Roman" w:cs="Times New Roman"/>
      <w:color w:val="0E0E0E"/>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2" w:line="259" w:lineRule="auto"/>
    </w:pPr>
    <w:rPr>
      <w:rFonts w:ascii="Arial" w:eastAsia="Arial" w:hAnsi="Arial" w:cs="Arial"/>
      <w:color w:val="000000"/>
      <w:sz w:val="20"/>
    </w:rPr>
  </w:style>
  <w:style w:type="character" w:customStyle="1" w:styleId="footnotedescriptionChar">
    <w:name w:val="footnote description Char"/>
    <w:link w:val="footnotedescription"/>
    <w:rPr>
      <w:rFonts w:ascii="Arial" w:eastAsia="Arial" w:hAnsi="Arial" w:cs="Arial"/>
      <w:color w:val="000000"/>
      <w:sz w:val="20"/>
    </w:rPr>
  </w:style>
  <w:style w:type="character" w:customStyle="1" w:styleId="footnotemark">
    <w:name w:val="footnote mark"/>
    <w:hidden/>
    <w:rPr>
      <w:rFonts w:ascii="Arial" w:eastAsia="Arial" w:hAnsi="Arial" w:cs="Arial"/>
      <w:color w:val="000000"/>
      <w:sz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merip.org/1980/06/khomeini-we-shall-confront-the-world-with-our-ide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2408</Words>
  <Characters>13419</Characters>
  <Application>Microsoft Office Word</Application>
  <DocSecurity>0</DocSecurity>
  <Lines>189</Lines>
  <Paragraphs>32</Paragraphs>
  <ScaleCrop>false</ScaleCrop>
  <Company/>
  <LinksUpToDate>false</LinksUpToDate>
  <CharactersWithSpaces>15795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Regime Change Paper - The Iranian Revolution - Google Docs</dc:title>
  <dc:subject/>
  <dc:creator>Corbett, Grant</dc:creator>
  <cp:keywords/>
  <cp:lastModifiedBy>Corbett, Grant</cp:lastModifiedBy>
  <cp:revision>2</cp:revision>
  <dcterms:created xsi:type="dcterms:W3CDTF">2026-01-30T19:34:00Z</dcterms:created>
  <dcterms:modified xsi:type="dcterms:W3CDTF">2026-01-30T19:34:00Z</dcterms:modified>
</cp:coreProperties>
</file>