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3A" w:rsidRDefault="004647E1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2090576" cy="2628900"/>
            <wp:effectExtent l="0" t="0" r="5080" b="0"/>
            <wp:docPr id="4" name="Imagen 4" descr="Resultado de imagen para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70" cy="263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45" w:rsidRPr="004647E1" w:rsidRDefault="004647E1" w:rsidP="00B559E6">
      <w:pPr>
        <w:jc w:val="center"/>
        <w:rPr>
          <w:rFonts w:ascii="Arial" w:hAnsi="Arial" w:cs="Arial"/>
          <w:color w:val="000000" w:themeColor="text1"/>
          <w:sz w:val="56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56"/>
          <w:szCs w:val="56"/>
          <w:lang w:val="es-PE"/>
        </w:rPr>
        <w:t xml:space="preserve">Sistemas </w:t>
      </w:r>
      <w:proofErr w:type="spellStart"/>
      <w:r w:rsidRPr="004647E1">
        <w:rPr>
          <w:rFonts w:ascii="Arial" w:hAnsi="Arial" w:cs="Arial"/>
          <w:color w:val="000000" w:themeColor="text1"/>
          <w:sz w:val="56"/>
          <w:szCs w:val="56"/>
          <w:lang w:val="es-PE"/>
        </w:rPr>
        <w:t>Uni</w:t>
      </w:r>
      <w:proofErr w:type="spellEnd"/>
    </w:p>
    <w:p w:rsidR="004647E1" w:rsidRDefault="004647E1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56"/>
          <w:szCs w:val="56"/>
          <w:lang w:val="es-PE"/>
        </w:rPr>
      </w:pP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56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56"/>
          <w:szCs w:val="56"/>
          <w:lang w:val="es-PE"/>
        </w:rPr>
        <w:t>Curso: Java Programación</w:t>
      </w: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56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56"/>
          <w:szCs w:val="56"/>
          <w:lang w:val="es-PE"/>
        </w:rPr>
        <w:t xml:space="preserve">Integrantes: </w:t>
      </w: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40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56"/>
          <w:szCs w:val="56"/>
          <w:lang w:val="es-PE"/>
        </w:rPr>
        <w:tab/>
      </w:r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 xml:space="preserve">- </w:t>
      </w:r>
      <w:proofErr w:type="spellStart"/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>Paucar</w:t>
      </w:r>
      <w:proofErr w:type="spellEnd"/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 xml:space="preserve"> Meneses Jeremy</w:t>
      </w: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40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ab/>
        <w:t>-Sánchez Urbano Gustavo</w:t>
      </w: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40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ab/>
        <w:t>-</w:t>
      </w:r>
      <w:proofErr w:type="spellStart"/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>Mallqui</w:t>
      </w:r>
      <w:proofErr w:type="spellEnd"/>
      <w:r w:rsidRPr="004647E1">
        <w:rPr>
          <w:rFonts w:ascii="Arial" w:hAnsi="Arial" w:cs="Arial"/>
          <w:color w:val="000000" w:themeColor="text1"/>
          <w:sz w:val="40"/>
          <w:szCs w:val="56"/>
          <w:lang w:val="es-PE"/>
        </w:rPr>
        <w:t xml:space="preserve"> Benigno Harold</w:t>
      </w:r>
    </w:p>
    <w:p w:rsidR="004647E1" w:rsidRPr="004647E1" w:rsidRDefault="004647E1" w:rsidP="004647E1">
      <w:pPr>
        <w:rPr>
          <w:rFonts w:ascii="Arial" w:hAnsi="Arial" w:cs="Arial"/>
          <w:color w:val="000000" w:themeColor="text1"/>
          <w:sz w:val="56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56"/>
          <w:szCs w:val="56"/>
          <w:lang w:val="es-PE"/>
        </w:rPr>
        <w:t>Ciclo: 2020-01</w:t>
      </w:r>
    </w:p>
    <w:p w:rsidR="004647E1" w:rsidRDefault="004647E1" w:rsidP="004647E1">
      <w:pPr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4647E1" w:rsidRPr="004647E1" w:rsidRDefault="004647E1" w:rsidP="004647E1">
      <w:pPr>
        <w:jc w:val="center"/>
        <w:rPr>
          <w:rFonts w:ascii="Arial" w:hAnsi="Arial" w:cs="Arial"/>
          <w:color w:val="000000" w:themeColor="text1"/>
          <w:sz w:val="56"/>
          <w:szCs w:val="56"/>
          <w:lang w:val="es-PE"/>
        </w:rPr>
      </w:pPr>
      <w:r w:rsidRPr="004647E1">
        <w:rPr>
          <w:rFonts w:ascii="Arial" w:hAnsi="Arial" w:cs="Arial"/>
          <w:color w:val="000000" w:themeColor="text1"/>
          <w:sz w:val="96"/>
          <w:szCs w:val="56"/>
          <w:lang w:val="es-PE"/>
        </w:rPr>
        <w:t>2020</w:t>
      </w: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B52B45" w:rsidRDefault="00B52B45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4647E1" w:rsidRDefault="004647E1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sdt>
      <w:sdtPr>
        <w:rPr>
          <w:lang w:val="es-ES"/>
        </w:rPr>
        <w:id w:val="-1629847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3698" w:rsidRDefault="00143698" w:rsidP="00143698">
          <w:pPr>
            <w:jc w:val="center"/>
            <w:rPr>
              <w:rFonts w:ascii="Arial" w:hAnsi="Arial" w:cs="Arial"/>
              <w:color w:val="2F5496" w:themeColor="accent5" w:themeShade="BF"/>
              <w:sz w:val="56"/>
              <w:szCs w:val="56"/>
              <w:lang w:val="es-PE"/>
            </w:rPr>
          </w:pPr>
          <w:r>
            <w:rPr>
              <w:rFonts w:ascii="Arial" w:hAnsi="Arial" w:cs="Arial"/>
              <w:color w:val="2F5496" w:themeColor="accent5" w:themeShade="BF"/>
              <w:sz w:val="56"/>
              <w:szCs w:val="56"/>
              <w:lang w:val="es-PE"/>
            </w:rPr>
            <w:t xml:space="preserve">Índice </w:t>
          </w:r>
        </w:p>
        <w:p w:rsidR="00272153" w:rsidRDefault="001436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51493" w:history="1">
            <w:r w:rsidR="00272153" w:rsidRPr="00352B23">
              <w:rPr>
                <w:rStyle w:val="Hipervnculo"/>
                <w:rFonts w:ascii="Arial" w:hAnsi="Arial" w:cs="Arial"/>
                <w:noProof/>
                <w:lang w:val="es-PE"/>
              </w:rPr>
              <w:t>Impuesto a la Renta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_Toc30451493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3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494" w:history="1">
            <w:r w:rsidR="00272153" w:rsidRPr="00352B23">
              <w:rPr>
                <w:rStyle w:val="Hipervnculo"/>
                <w:rFonts w:ascii="Arial" w:hAnsi="Arial" w:cs="Arial"/>
                <w:noProof/>
              </w:rPr>
              <w:t>1. Descripción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_Toc30451494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3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495" w:history="1">
            <w:r w:rsidR="00272153" w:rsidRPr="00352B23">
              <w:rPr>
                <w:rStyle w:val="Hipervnculo"/>
                <w:noProof/>
              </w:rPr>
              <w:t>2. Rentas que genera una persona natural: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_Toc30451495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4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496" w:history="1">
            <w:r w:rsidR="00272153" w:rsidRPr="00352B23">
              <w:rPr>
                <w:rStyle w:val="Hipervnculo"/>
                <w:noProof/>
                <w:lang w:val="es-PE" w:eastAsia="es-PE"/>
              </w:rPr>
              <w:t>Rentas de Capital - Primera Categoría: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_Toc30451496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4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497" w:history="1">
            <w:r w:rsidR="00272153" w:rsidRPr="00352B23">
              <w:rPr>
                <w:rStyle w:val="Hipervnculo"/>
                <w:noProof/>
                <w:lang w:val="es-PE" w:eastAsia="es-PE"/>
              </w:rPr>
              <w:t>Rentas de Capital - Segunda Categoría: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_Toc30451497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4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498" w:history="1">
            <w:r w:rsidR="00272153" w:rsidRPr="00352B23">
              <w:rPr>
                <w:rStyle w:val="Hipervnculo"/>
                <w:noProof/>
                <w:lang w:val="es-PE"/>
              </w:rPr>
              <w:t>Renta de cuarta Categoría: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_Toc30451498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4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499" w:history="1">
            <w:r w:rsidR="00272153" w:rsidRPr="00352B23">
              <w:rPr>
                <w:rStyle w:val="Hipervnculo"/>
                <w:noProof/>
                <w:lang w:val="es-PE"/>
              </w:rPr>
              <w:t>Renta de quinta Categoría: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_Toc30451499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5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0" w:history="1">
            <w:r w:rsidR="00272153" w:rsidRPr="00352B23">
              <w:rPr>
                <w:rStyle w:val="Hipervnculo"/>
                <w:noProof/>
              </w:rPr>
              <w:t>3. Calculo de los impuestos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_Toc30451500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5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1" w:history="1">
            <w:r w:rsidR="00272153" w:rsidRPr="00352B23">
              <w:rPr>
                <w:rStyle w:val="Hipervnculo"/>
                <w:noProof/>
              </w:rPr>
              <w:t>Paso 1: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_Toc30451501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5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2" w:history="1">
            <w:r w:rsidR="00272153" w:rsidRPr="00352B23">
              <w:rPr>
                <w:rStyle w:val="Hipervnculo"/>
                <w:noProof/>
              </w:rPr>
              <w:t>Paso 2: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_Toc30451502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6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3" w:history="1">
            <w:r w:rsidR="00272153" w:rsidRPr="00352B23">
              <w:rPr>
                <w:rStyle w:val="Hipervnculo"/>
                <w:noProof/>
              </w:rPr>
              <w:t>Paso 3: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_Toc30451503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6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4" w:history="1">
            <w:r w:rsidR="00272153" w:rsidRPr="00352B23">
              <w:rPr>
                <w:rStyle w:val="Hipervnculo"/>
                <w:noProof/>
                <w:lang w:val="es-PE"/>
              </w:rPr>
              <w:t>Paso 4: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_Toc30451504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7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5" w:history="1">
            <w:r w:rsidR="00272153" w:rsidRPr="00352B23">
              <w:rPr>
                <w:rStyle w:val="Hipervnculo"/>
                <w:noProof/>
                <w:lang w:val="es-PE"/>
              </w:rPr>
              <w:t>Paso 5: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_Toc30451505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8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ED43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30451506" w:history="1">
            <w:r w:rsidR="00272153" w:rsidRPr="00352B23">
              <w:rPr>
                <w:rStyle w:val="Hipervnculo"/>
                <w:noProof/>
              </w:rPr>
              <w:t>4. bibliografía</w:t>
            </w:r>
            <w:r w:rsidR="00272153">
              <w:rPr>
                <w:noProof/>
                <w:webHidden/>
              </w:rPr>
              <w:tab/>
            </w:r>
            <w:r w:rsidR="00272153">
              <w:rPr>
                <w:noProof/>
                <w:webHidden/>
              </w:rPr>
              <w:fldChar w:fldCharType="begin"/>
            </w:r>
            <w:r w:rsidR="00272153">
              <w:rPr>
                <w:noProof/>
                <w:webHidden/>
              </w:rPr>
              <w:instrText xml:space="preserve"> PAGEREF _Toc30451506 \h </w:instrText>
            </w:r>
            <w:r w:rsidR="00272153">
              <w:rPr>
                <w:noProof/>
                <w:webHidden/>
              </w:rPr>
            </w:r>
            <w:r w:rsidR="00272153">
              <w:rPr>
                <w:noProof/>
                <w:webHidden/>
              </w:rPr>
              <w:fldChar w:fldCharType="separate"/>
            </w:r>
            <w:r w:rsidR="00272153">
              <w:rPr>
                <w:noProof/>
                <w:webHidden/>
              </w:rPr>
              <w:t>9</w:t>
            </w:r>
            <w:r w:rsidR="00272153">
              <w:rPr>
                <w:noProof/>
                <w:webHidden/>
              </w:rPr>
              <w:fldChar w:fldCharType="end"/>
            </w:r>
          </w:hyperlink>
        </w:p>
        <w:p w:rsidR="00272153" w:rsidRDefault="00272153" w:rsidP="00272153">
          <w:pPr>
            <w:pStyle w:val="TDC2"/>
            <w:tabs>
              <w:tab w:val="right" w:leader="dot" w:pos="8494"/>
            </w:tabs>
            <w:ind w:left="0"/>
            <w:rPr>
              <w:rFonts w:eastAsiaTheme="minorEastAsia"/>
              <w:noProof/>
              <w:lang w:val="es-PE" w:eastAsia="es-PE"/>
            </w:rPr>
          </w:pPr>
        </w:p>
        <w:p w:rsidR="00143698" w:rsidRDefault="00143698">
          <w:r>
            <w:rPr>
              <w:b/>
              <w:bCs/>
              <w:lang w:val="es-ES"/>
            </w:rPr>
            <w:fldChar w:fldCharType="end"/>
          </w:r>
        </w:p>
      </w:sdtContent>
    </w:sdt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143698">
      <w:pPr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7C7A97">
      <w:pPr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4647E1" w:rsidRDefault="004647E1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4647E1" w:rsidRDefault="004647E1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43698" w:rsidRDefault="00143698" w:rsidP="00B559E6">
      <w:pPr>
        <w:jc w:val="center"/>
        <w:rPr>
          <w:rFonts w:ascii="Arial" w:hAnsi="Arial" w:cs="Arial"/>
          <w:color w:val="2F5496" w:themeColor="accent5" w:themeShade="BF"/>
          <w:sz w:val="56"/>
          <w:szCs w:val="56"/>
          <w:lang w:val="es-PE"/>
        </w:rPr>
      </w:pPr>
    </w:p>
    <w:p w:rsidR="001D173A" w:rsidRDefault="001D173A" w:rsidP="0041153A">
      <w:pPr>
        <w:pStyle w:val="Ttulo1"/>
        <w:rPr>
          <w:lang w:val="es-PE"/>
        </w:rPr>
      </w:pPr>
    </w:p>
    <w:p w:rsidR="002D5920" w:rsidRPr="0041153A" w:rsidRDefault="00B559E6" w:rsidP="0041153A">
      <w:pPr>
        <w:pStyle w:val="Ttulo1"/>
        <w:rPr>
          <w:rFonts w:ascii="Arial" w:hAnsi="Arial" w:cs="Arial"/>
          <w:sz w:val="52"/>
          <w:lang w:val="es-PE"/>
        </w:rPr>
      </w:pPr>
      <w:bookmarkStart w:id="0" w:name="_Toc30451493"/>
      <w:r w:rsidRPr="0041153A">
        <w:rPr>
          <w:rFonts w:ascii="Arial" w:hAnsi="Arial" w:cs="Arial"/>
          <w:sz w:val="52"/>
          <w:lang w:val="es-PE"/>
        </w:rPr>
        <w:t>Impuesto a la Renta</w:t>
      </w:r>
      <w:bookmarkEnd w:id="0"/>
    </w:p>
    <w:p w:rsidR="002F3B13" w:rsidRPr="0041153A" w:rsidRDefault="002F3B13">
      <w:pPr>
        <w:rPr>
          <w:rFonts w:ascii="Arial" w:hAnsi="Arial" w:cs="Arial"/>
          <w:sz w:val="24"/>
          <w:lang w:val="es-PE"/>
        </w:rPr>
      </w:pPr>
    </w:p>
    <w:p w:rsidR="00846D9B" w:rsidRDefault="00846D9B">
      <w:pPr>
        <w:rPr>
          <w:lang w:val="es-PE"/>
        </w:rPr>
      </w:pPr>
    </w:p>
    <w:p w:rsidR="00846D9B" w:rsidRDefault="00846D9B">
      <w:pPr>
        <w:rPr>
          <w:lang w:val="es-PE"/>
        </w:rPr>
      </w:pPr>
    </w:p>
    <w:p w:rsidR="001D173A" w:rsidRDefault="001D173A">
      <w:pPr>
        <w:rPr>
          <w:lang w:val="es-PE"/>
        </w:rPr>
      </w:pPr>
    </w:p>
    <w:p w:rsidR="001D173A" w:rsidRDefault="001D173A">
      <w:pPr>
        <w:rPr>
          <w:lang w:val="es-PE"/>
        </w:rPr>
      </w:pPr>
    </w:p>
    <w:p w:rsidR="001D173A" w:rsidRDefault="001D173A">
      <w:pPr>
        <w:rPr>
          <w:lang w:val="es-PE"/>
        </w:rPr>
      </w:pPr>
    </w:p>
    <w:p w:rsidR="0041153A" w:rsidRDefault="0041153A">
      <w:pPr>
        <w:rPr>
          <w:lang w:val="es-PE"/>
        </w:rPr>
      </w:pPr>
    </w:p>
    <w:p w:rsidR="0041153A" w:rsidRDefault="0041153A">
      <w:pPr>
        <w:rPr>
          <w:lang w:val="es-PE"/>
        </w:rPr>
      </w:pPr>
    </w:p>
    <w:p w:rsidR="0041153A" w:rsidRDefault="0041153A">
      <w:pPr>
        <w:rPr>
          <w:lang w:val="es-PE"/>
        </w:rPr>
      </w:pPr>
    </w:p>
    <w:p w:rsidR="0041153A" w:rsidRPr="0041153A" w:rsidRDefault="0041153A" w:rsidP="0041153A">
      <w:pPr>
        <w:pStyle w:val="Ttulo2"/>
        <w:rPr>
          <w:rFonts w:ascii="Arial" w:hAnsi="Arial" w:cs="Arial"/>
        </w:rPr>
      </w:pPr>
      <w:bookmarkStart w:id="1" w:name="_Toc30451494"/>
      <w:r>
        <w:rPr>
          <w:rFonts w:ascii="Arial" w:hAnsi="Arial" w:cs="Arial"/>
        </w:rPr>
        <w:t>1.</w:t>
      </w:r>
      <w:r w:rsidRPr="0041153A">
        <w:rPr>
          <w:rFonts w:ascii="Arial" w:hAnsi="Arial" w:cs="Arial"/>
        </w:rPr>
        <w:t xml:space="preserve"> Descripción</w:t>
      </w:r>
      <w:bookmarkEnd w:id="1"/>
    </w:p>
    <w:p w:rsidR="00846D9B" w:rsidRPr="00846D9B" w:rsidRDefault="00846D9B" w:rsidP="00846D9B">
      <w:pPr>
        <w:shd w:val="clear" w:color="auto" w:fill="FDFDFD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846D9B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El impuesto a la renta es un tributo que se determina anualmente, su ejercicio inicia el 01 de enero y finaliza el 31 de diciembre.</w:t>
      </w:r>
    </w:p>
    <w:p w:rsidR="006E48EF" w:rsidRPr="00143698" w:rsidRDefault="00846D9B" w:rsidP="00846D9B">
      <w:pPr>
        <w:shd w:val="clear" w:color="auto" w:fill="FDFDFD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846D9B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Tratándose de personas naturales el impuesto se aplica a los ingresos que provienen del arrendamiento u otro tipo de cesión de bienes muebles o inmuebles, acciones u otros valores mobiliarios, y/o del trabajo realizado de forma dependiente o independiente, siempre que no se realice actividad empresarial.</w:t>
      </w:r>
    </w:p>
    <w:p w:rsidR="006E48EF" w:rsidRDefault="0041153A" w:rsidP="0041153A">
      <w:pPr>
        <w:pStyle w:val="Ttulo2"/>
      </w:pPr>
      <w:bookmarkStart w:id="2" w:name="_Toc30451495"/>
      <w:r>
        <w:lastRenderedPageBreak/>
        <w:t>2. Rentas</w:t>
      </w:r>
      <w:r w:rsidR="006E48EF">
        <w:t xml:space="preserve"> que genera una persona natural:</w:t>
      </w:r>
      <w:bookmarkEnd w:id="2"/>
      <w:r w:rsidR="006E48EF">
        <w:t xml:space="preserve"> </w:t>
      </w:r>
    </w:p>
    <w:p w:rsidR="006E48EF" w:rsidRPr="00846D9B" w:rsidRDefault="006E48EF" w:rsidP="00846D9B">
      <w:pPr>
        <w:shd w:val="clear" w:color="auto" w:fill="FDFDFD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s-PE" w:eastAsia="es-PE"/>
        </w:rPr>
      </w:pPr>
    </w:p>
    <w:p w:rsidR="0041153A" w:rsidRPr="0041153A" w:rsidRDefault="00846D9B" w:rsidP="00846D9B">
      <w:pPr>
        <w:shd w:val="clear" w:color="auto" w:fill="FDFDFD"/>
        <w:spacing w:after="300" w:line="240" w:lineRule="auto"/>
        <w:rPr>
          <w:rStyle w:val="Ttulo3Car"/>
          <w:sz w:val="36"/>
          <w:lang w:val="es-PE" w:eastAsia="es-PE"/>
        </w:rPr>
      </w:pPr>
      <w:bookmarkStart w:id="3" w:name="_Toc30451496"/>
      <w:r w:rsidRPr="0041153A">
        <w:rPr>
          <w:rStyle w:val="Ttulo3Car"/>
          <w:sz w:val="36"/>
          <w:lang w:val="es-PE" w:eastAsia="es-PE"/>
        </w:rPr>
        <w:t>Rentas de Capital - Primera Categoría:</w:t>
      </w:r>
      <w:bookmarkEnd w:id="3"/>
    </w:p>
    <w:p w:rsidR="00846D9B" w:rsidRPr="00846D9B" w:rsidRDefault="0041153A" w:rsidP="00846D9B">
      <w:pPr>
        <w:shd w:val="clear" w:color="auto" w:fill="FDFDFD"/>
        <w:spacing w:after="300" w:line="240" w:lineRule="auto"/>
        <w:rPr>
          <w:rFonts w:ascii="Arial" w:eastAsia="Times New Roman" w:hAnsi="Arial" w:cs="Arial"/>
          <w:color w:val="333333"/>
          <w:sz w:val="32"/>
          <w:szCs w:val="24"/>
          <w:lang w:val="es-PE" w:eastAsia="es-PE"/>
        </w:rPr>
      </w:pPr>
      <w:r w:rsidRPr="0041153A">
        <w:rPr>
          <w:rFonts w:ascii="Arial" w:eastAsia="Times New Roman" w:hAnsi="Arial" w:cs="Arial"/>
          <w:color w:val="333333"/>
          <w:sz w:val="32"/>
          <w:szCs w:val="24"/>
          <w:lang w:val="es-PE" w:eastAsia="es-PE"/>
        </w:rPr>
        <w:t>Generadas</w:t>
      </w:r>
      <w:r w:rsidR="00846D9B" w:rsidRPr="00846D9B">
        <w:rPr>
          <w:rFonts w:ascii="Arial" w:eastAsia="Times New Roman" w:hAnsi="Arial" w:cs="Arial"/>
          <w:color w:val="333333"/>
          <w:sz w:val="32"/>
          <w:szCs w:val="24"/>
          <w:lang w:val="es-PE" w:eastAsia="es-PE"/>
        </w:rPr>
        <w:t xml:space="preserve"> por el arrendamiento, subarrendamiento o cualquier tipo de cesión de bienes muebles o inmuebles. El pago debes hacerlo tú mismo y corresponde al 6.25% sobre la renta neta (equivalente al 5% sobre la renta bruta).</w:t>
      </w:r>
    </w:p>
    <w:p w:rsidR="0041153A" w:rsidRPr="0041153A" w:rsidRDefault="00846D9B" w:rsidP="00846D9B">
      <w:pPr>
        <w:shd w:val="clear" w:color="auto" w:fill="FDFDFD"/>
        <w:spacing w:after="300" w:line="240" w:lineRule="auto"/>
        <w:rPr>
          <w:rFonts w:ascii="Arial" w:eastAsia="Times New Roman" w:hAnsi="Arial" w:cs="Arial"/>
          <w:color w:val="333333"/>
          <w:sz w:val="28"/>
          <w:szCs w:val="24"/>
          <w:lang w:val="es-PE" w:eastAsia="es-PE"/>
        </w:rPr>
      </w:pPr>
      <w:bookmarkStart w:id="4" w:name="_Toc30451497"/>
      <w:r w:rsidRPr="0041153A">
        <w:rPr>
          <w:rStyle w:val="Ttulo3Car"/>
          <w:sz w:val="36"/>
          <w:lang w:val="es-PE" w:eastAsia="es-PE"/>
        </w:rPr>
        <w:t>Rentas de Capital - Segunda Categoría:</w:t>
      </w:r>
      <w:bookmarkEnd w:id="4"/>
      <w:r w:rsidRPr="00846D9B">
        <w:rPr>
          <w:rFonts w:ascii="Arial" w:eastAsia="Times New Roman" w:hAnsi="Arial" w:cs="Arial"/>
          <w:color w:val="333333"/>
          <w:sz w:val="28"/>
          <w:szCs w:val="24"/>
          <w:lang w:val="es-PE" w:eastAsia="es-PE"/>
        </w:rPr>
        <w:t> </w:t>
      </w:r>
    </w:p>
    <w:p w:rsidR="00846D9B" w:rsidRPr="00846D9B" w:rsidRDefault="0041153A" w:rsidP="00846D9B">
      <w:pPr>
        <w:shd w:val="clear" w:color="auto" w:fill="FDFDFD"/>
        <w:spacing w:after="300" w:line="240" w:lineRule="auto"/>
        <w:rPr>
          <w:rFonts w:ascii="Arial" w:eastAsia="Times New Roman" w:hAnsi="Arial" w:cs="Arial"/>
          <w:color w:val="333333"/>
          <w:sz w:val="32"/>
          <w:szCs w:val="24"/>
          <w:lang w:val="es-PE" w:eastAsia="es-PE"/>
        </w:rPr>
      </w:pPr>
      <w:r w:rsidRPr="0041153A">
        <w:rPr>
          <w:rFonts w:ascii="Arial" w:eastAsia="Times New Roman" w:hAnsi="Arial" w:cs="Arial"/>
          <w:color w:val="333333"/>
          <w:sz w:val="32"/>
          <w:szCs w:val="24"/>
          <w:lang w:val="es-PE" w:eastAsia="es-PE"/>
        </w:rPr>
        <w:t>Corresponde</w:t>
      </w:r>
      <w:r w:rsidR="00846D9B" w:rsidRPr="00846D9B">
        <w:rPr>
          <w:rFonts w:ascii="Arial" w:eastAsia="Times New Roman" w:hAnsi="Arial" w:cs="Arial"/>
          <w:color w:val="333333"/>
          <w:sz w:val="32"/>
          <w:szCs w:val="24"/>
          <w:lang w:val="es-PE" w:eastAsia="es-PE"/>
        </w:rPr>
        <w:t xml:space="preserve"> a venta de acciones o valores mobiliarios, intereses por colocación de capitales, regalías, patentes, rentas vitalicias, derechos de llave y otros.</w:t>
      </w:r>
    </w:p>
    <w:p w:rsidR="00846D9B" w:rsidRPr="0041153A" w:rsidRDefault="00846D9B">
      <w:pPr>
        <w:rPr>
          <w:sz w:val="24"/>
          <w:lang w:val="es-PE"/>
        </w:rPr>
      </w:pPr>
    </w:p>
    <w:p w:rsidR="00846D9B" w:rsidRPr="0041153A" w:rsidRDefault="00846D9B" w:rsidP="0041153A">
      <w:pPr>
        <w:pStyle w:val="Ttulo3"/>
        <w:rPr>
          <w:sz w:val="36"/>
          <w:lang w:val="es-PE"/>
        </w:rPr>
      </w:pPr>
      <w:bookmarkStart w:id="5" w:name="_Toc30451498"/>
      <w:r w:rsidRPr="0041153A">
        <w:rPr>
          <w:sz w:val="36"/>
          <w:lang w:val="es-PE"/>
        </w:rPr>
        <w:t>Renta de cuarta Categoría:</w:t>
      </w:r>
      <w:bookmarkEnd w:id="5"/>
    </w:p>
    <w:p w:rsidR="00846D9B" w:rsidRPr="0041153A" w:rsidRDefault="00846D9B">
      <w:pPr>
        <w:rPr>
          <w:sz w:val="32"/>
          <w:lang w:val="es-PE"/>
        </w:rPr>
      </w:pPr>
      <w:r w:rsidRPr="0041153A">
        <w:rPr>
          <w:rFonts w:ascii="Arial" w:hAnsi="Arial" w:cs="Arial"/>
          <w:color w:val="333333"/>
          <w:sz w:val="32"/>
          <w:shd w:val="clear" w:color="auto" w:fill="FDFDFD"/>
        </w:rPr>
        <w:t>Las rentas de Cuarta Categoría corresponden a servicios prestados de manera independiente de cualquier profesión, ciencia, arte u oficio. También, están aquí los trabajadores del Estado con contrato CAS, las dietas de directores, consejeros regionales y regidores municipales. Si la renta de Cuarta Categoría se complementa con actividades empresariales o viceversa, el total de la renta que se obtenga se considerará como renta de Tercera Categoría (rentas empresariales).</w:t>
      </w:r>
    </w:p>
    <w:p w:rsidR="00846D9B" w:rsidRDefault="00846D9B" w:rsidP="0041153A">
      <w:pPr>
        <w:pStyle w:val="Ttulo3"/>
        <w:rPr>
          <w:lang w:val="es-PE"/>
        </w:rPr>
      </w:pPr>
    </w:p>
    <w:p w:rsidR="00846D9B" w:rsidRPr="0041153A" w:rsidRDefault="00846D9B" w:rsidP="0041153A">
      <w:pPr>
        <w:pStyle w:val="Ttulo3"/>
        <w:rPr>
          <w:sz w:val="36"/>
          <w:lang w:val="es-PE"/>
        </w:rPr>
      </w:pPr>
      <w:bookmarkStart w:id="6" w:name="_Toc30451499"/>
      <w:r w:rsidRPr="0041153A">
        <w:rPr>
          <w:sz w:val="36"/>
          <w:lang w:val="es-PE"/>
        </w:rPr>
        <w:t>Renta de quinta Categoría:</w:t>
      </w:r>
      <w:bookmarkEnd w:id="6"/>
    </w:p>
    <w:p w:rsidR="00846D9B" w:rsidRPr="0041153A" w:rsidRDefault="00846D9B">
      <w:pPr>
        <w:rPr>
          <w:sz w:val="32"/>
          <w:lang w:val="es-PE"/>
        </w:rPr>
      </w:pPr>
      <w:r w:rsidRPr="0041153A">
        <w:rPr>
          <w:rFonts w:ascii="Arial" w:hAnsi="Arial" w:cs="Arial"/>
          <w:color w:val="333333"/>
          <w:sz w:val="32"/>
          <w:shd w:val="clear" w:color="auto" w:fill="FDFDFD"/>
        </w:rPr>
        <w:t xml:space="preserve">Rentas de quinta categoría: los ingresos obtenidos por el trabajo personal prestado en relación de dependencia (planilla), incluidos cargos públicos, tales como sueldos, salarios, asignaciones, gratificaciones, bonificaciones, aguinaldos, comisiones, compensaciones en dinero o en </w:t>
      </w:r>
      <w:r w:rsidRPr="0041153A">
        <w:rPr>
          <w:rFonts w:ascii="Arial" w:hAnsi="Arial" w:cs="Arial"/>
          <w:color w:val="333333"/>
          <w:sz w:val="32"/>
          <w:shd w:val="clear" w:color="auto" w:fill="FDFDFD"/>
        </w:rPr>
        <w:lastRenderedPageBreak/>
        <w:t>especie, gastos de representación y, en general, toda retribución por servicios personales.</w:t>
      </w:r>
    </w:p>
    <w:p w:rsidR="00846D9B" w:rsidRDefault="00846D9B">
      <w:pPr>
        <w:rPr>
          <w:lang w:val="es-PE"/>
        </w:rPr>
      </w:pPr>
    </w:p>
    <w:p w:rsidR="00846D9B" w:rsidRDefault="00846D9B">
      <w:pPr>
        <w:rPr>
          <w:lang w:val="es-PE"/>
        </w:rPr>
      </w:pPr>
    </w:p>
    <w:p w:rsidR="00846D9B" w:rsidRDefault="00846D9B">
      <w:pPr>
        <w:rPr>
          <w:lang w:val="es-PE"/>
        </w:rPr>
      </w:pPr>
    </w:p>
    <w:p w:rsidR="00846D9B" w:rsidRDefault="0041153A" w:rsidP="0041153A">
      <w:pPr>
        <w:pStyle w:val="Ttulo2"/>
      </w:pPr>
      <w:bookmarkStart w:id="7" w:name="_Toc30451500"/>
      <w:r>
        <w:t>3. Calculo de los impuestos</w:t>
      </w:r>
      <w:bookmarkEnd w:id="7"/>
      <w:r>
        <w:t xml:space="preserve"> </w:t>
      </w:r>
    </w:p>
    <w:p w:rsidR="00577746" w:rsidRDefault="00577746" w:rsidP="0041153A">
      <w:pPr>
        <w:pStyle w:val="Ttulo2"/>
      </w:pPr>
    </w:p>
    <w:p w:rsidR="00577746" w:rsidRDefault="00577746" w:rsidP="00577746">
      <w:pPr>
        <w:pStyle w:val="Ttulo3"/>
      </w:pPr>
      <w:bookmarkStart w:id="8" w:name="_Toc30451501"/>
      <w:r>
        <w:t>Paso 1:</w:t>
      </w:r>
      <w:bookmarkEnd w:id="8"/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21"/>
        </w:rPr>
      </w:pP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21"/>
          <w:lang w:val="es-ES"/>
        </w:rPr>
        <w:t>Proyecte los ingresos gravados que percibirá en todo el año.</w:t>
      </w:r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21"/>
        </w:rPr>
      </w:pPr>
      <w:r w:rsidRPr="00577746">
        <w:rPr>
          <w:rFonts w:ascii="Arial" w:hAnsi="Arial" w:cs="Arial"/>
          <w:color w:val="333333"/>
          <w:sz w:val="32"/>
          <w:szCs w:val="21"/>
          <w:lang w:val="es-ES"/>
        </w:rPr>
        <w:t>Para esto la </w:t>
      </w: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21"/>
          <w:lang w:val="es-ES"/>
        </w:rPr>
        <w:t>remuneración mensual</w:t>
      </w:r>
      <w:r w:rsidRPr="00577746">
        <w:rPr>
          <w:rFonts w:ascii="Arial" w:hAnsi="Arial" w:cs="Arial"/>
          <w:color w:val="333333"/>
          <w:sz w:val="32"/>
          <w:szCs w:val="21"/>
          <w:lang w:val="es-ES"/>
        </w:rPr>
        <w:t> (incluidos los conceptos remunerativos ordinarios) </w:t>
      </w: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21"/>
          <w:lang w:val="es-ES"/>
        </w:rPr>
        <w:t>se multiplica por el número de meses que falta para terminar el ejercicio gravable</w:t>
      </w:r>
      <w:r w:rsidRPr="00577746">
        <w:rPr>
          <w:rFonts w:ascii="Arial" w:hAnsi="Arial" w:cs="Arial"/>
          <w:color w:val="333333"/>
          <w:sz w:val="32"/>
          <w:szCs w:val="21"/>
          <w:lang w:val="es-ES"/>
        </w:rPr>
        <w:t>, incluido el mes al que corresponda la retención.</w:t>
      </w:r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21"/>
        </w:rPr>
      </w:pPr>
      <w:r w:rsidRPr="00577746">
        <w:rPr>
          <w:rFonts w:ascii="Arial" w:hAnsi="Arial" w:cs="Arial"/>
          <w:color w:val="333333"/>
          <w:sz w:val="32"/>
          <w:szCs w:val="21"/>
          <w:lang w:val="es-ES"/>
        </w:rPr>
        <w:t>Al resultado se le suma lo siguiente:</w:t>
      </w:r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21"/>
        </w:rPr>
      </w:pPr>
      <w:r w:rsidRPr="00577746">
        <w:rPr>
          <w:rFonts w:ascii="Arial" w:hAnsi="Arial" w:cs="Arial"/>
          <w:color w:val="333333"/>
          <w:sz w:val="32"/>
          <w:szCs w:val="21"/>
          <w:lang w:val="es-ES"/>
        </w:rPr>
        <w:t>• Las gratificaciones ordinarias (Navidad, Fiestas Patrias y otras), que correspondan al ejercicio (percibidas y por percibir).</w:t>
      </w:r>
      <w:r w:rsidRPr="00577746">
        <w:rPr>
          <w:rFonts w:ascii="Arial" w:hAnsi="Arial" w:cs="Arial"/>
          <w:color w:val="333333"/>
          <w:sz w:val="32"/>
          <w:szCs w:val="21"/>
          <w:lang w:val="es-ES"/>
        </w:rPr>
        <w:br/>
        <w:t>• Las remuneraciones y demás conceptos que hubieran sido puestas a disposición del trabajador en los meses anteriores del mismo ejercicio (pagos extraordinarios, gratificaciones extraordinarias, participaciones, reintegros, horas extras, entre otros).</w:t>
      </w:r>
    </w:p>
    <w:p w:rsidR="00577746" w:rsidRDefault="00577746" w:rsidP="00577746"/>
    <w:p w:rsidR="00577746" w:rsidRDefault="00577746" w:rsidP="00577746">
      <w:r>
        <w:rPr>
          <w:noProof/>
          <w:lang w:val="es-PE" w:eastAsia="es-PE"/>
        </w:rPr>
        <w:drawing>
          <wp:inline distT="0" distB="0" distL="0" distR="0" wp14:anchorId="7B38A2A6" wp14:editId="1FF03199">
            <wp:extent cx="5400040" cy="2176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46" w:rsidRDefault="00577746" w:rsidP="00577746">
      <w:pPr>
        <w:pStyle w:val="Ttulo3"/>
      </w:pPr>
      <w:bookmarkStart w:id="9" w:name="_Toc30451502"/>
      <w:r>
        <w:lastRenderedPageBreak/>
        <w:t>Paso 2:</w:t>
      </w:r>
      <w:bookmarkEnd w:id="9"/>
    </w:p>
    <w:p w:rsidR="00577746" w:rsidRDefault="00577746" w:rsidP="00577746"/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32"/>
        </w:rPr>
        <w:t>Deducción de 7 UIT.</w:t>
      </w:r>
    </w:p>
    <w:p w:rsid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 w:rsidRPr="00577746">
        <w:rPr>
          <w:rFonts w:ascii="Arial" w:hAnsi="Arial" w:cs="Arial"/>
          <w:color w:val="333333"/>
          <w:sz w:val="32"/>
          <w:szCs w:val="32"/>
        </w:rPr>
        <w:t>De la </w:t>
      </w: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32"/>
        </w:rPr>
        <w:t>remuneración bruta anual</w:t>
      </w:r>
      <w:r w:rsidRPr="00577746">
        <w:rPr>
          <w:rFonts w:ascii="Arial" w:hAnsi="Arial" w:cs="Arial"/>
          <w:color w:val="333333"/>
          <w:sz w:val="32"/>
          <w:szCs w:val="32"/>
        </w:rPr>
        <w:t xml:space="preserve"> determinado en el “paso 1”, deduces un monto fijo, por todo concepto, equivalente a 7 UIT (el valor de la </w:t>
      </w:r>
      <w:r w:rsidR="00003F71">
        <w:rPr>
          <w:rFonts w:ascii="Arial" w:hAnsi="Arial" w:cs="Arial"/>
          <w:color w:val="333333"/>
          <w:sz w:val="32"/>
          <w:szCs w:val="32"/>
        </w:rPr>
        <w:t>UIT es S/ 4,200 para el ejercicio 2019</w:t>
      </w:r>
      <w:r w:rsidRPr="00577746">
        <w:rPr>
          <w:rFonts w:ascii="Arial" w:hAnsi="Arial" w:cs="Arial"/>
          <w:color w:val="333333"/>
          <w:sz w:val="32"/>
          <w:szCs w:val="32"/>
        </w:rPr>
        <w:t>).</w:t>
      </w:r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 w:rsidRPr="00577746">
        <w:rPr>
          <w:rFonts w:ascii="Arial" w:hAnsi="Arial" w:cs="Arial"/>
          <w:color w:val="333333"/>
          <w:sz w:val="32"/>
          <w:szCs w:val="32"/>
          <w:shd w:val="clear" w:color="auto" w:fill="FFFFFF"/>
        </w:rPr>
        <w:t>Si la "Remuneración Bruta Anual" no supera las 7 UIT entonces no estará sujeto a retención.</w:t>
      </w:r>
    </w:p>
    <w:p w:rsidR="00577746" w:rsidRPr="00577746" w:rsidRDefault="00577746" w:rsidP="00577746">
      <w:pPr>
        <w:rPr>
          <w:rFonts w:ascii="Arial" w:hAnsi="Arial" w:cs="Arial"/>
          <w:sz w:val="32"/>
          <w:szCs w:val="32"/>
        </w:rPr>
      </w:pPr>
    </w:p>
    <w:p w:rsidR="00577746" w:rsidRPr="00577746" w:rsidRDefault="00577746" w:rsidP="00577746">
      <w:r>
        <w:rPr>
          <w:noProof/>
          <w:lang w:val="es-PE" w:eastAsia="es-PE"/>
        </w:rPr>
        <w:drawing>
          <wp:inline distT="0" distB="0" distL="0" distR="0" wp14:anchorId="583A9687" wp14:editId="6A96B594">
            <wp:extent cx="6411432" cy="217424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199" cy="21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3A" w:rsidRDefault="0041153A" w:rsidP="0041153A">
      <w:pPr>
        <w:pStyle w:val="Ttulo2"/>
      </w:pPr>
    </w:p>
    <w:p w:rsidR="00577746" w:rsidRDefault="00577746" w:rsidP="00577746">
      <w:pPr>
        <w:pStyle w:val="Ttulo3"/>
      </w:pPr>
      <w:bookmarkStart w:id="10" w:name="_Toc30451503"/>
      <w:r>
        <w:t>Paso 3:</w:t>
      </w:r>
      <w:bookmarkEnd w:id="10"/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32"/>
        </w:rPr>
        <w:t>Cálculo del impuesto anual proyectado.</w:t>
      </w:r>
    </w:p>
    <w:p w:rsid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 w:rsidRPr="00577746">
        <w:rPr>
          <w:rFonts w:ascii="Arial" w:hAnsi="Arial" w:cs="Arial"/>
          <w:color w:val="333333"/>
          <w:sz w:val="32"/>
          <w:szCs w:val="32"/>
        </w:rPr>
        <w:t>De la </w:t>
      </w:r>
      <w:r w:rsidRPr="00577746">
        <w:rPr>
          <w:rStyle w:val="Textoennegrita"/>
          <w:rFonts w:ascii="Arial" w:hAnsi="Arial" w:cs="Arial"/>
          <w:b w:val="0"/>
          <w:color w:val="333333"/>
          <w:sz w:val="32"/>
          <w:szCs w:val="32"/>
        </w:rPr>
        <w:t>remuneración neta anual</w:t>
      </w:r>
      <w:r w:rsidRPr="00577746">
        <w:rPr>
          <w:rFonts w:ascii="Arial" w:hAnsi="Arial" w:cs="Arial"/>
          <w:color w:val="333333"/>
          <w:sz w:val="32"/>
          <w:szCs w:val="32"/>
        </w:rPr>
        <w:t> obtenida en el “paso 2”, a efectos de obtener el impuesto anual proyectado, se debe</w:t>
      </w:r>
      <w:r>
        <w:rPr>
          <w:rFonts w:ascii="Arial" w:hAnsi="Arial" w:cs="Arial"/>
          <w:color w:val="333333"/>
          <w:sz w:val="32"/>
          <w:szCs w:val="32"/>
        </w:rPr>
        <w:t>rá aplicar las siguientes tasas.</w:t>
      </w:r>
    </w:p>
    <w:p w:rsidR="00577746" w:rsidRPr="00577746" w:rsidRDefault="00003F71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El valor de la UIT es S/. 4,200 para el Ejercicio 2019</w:t>
      </w:r>
      <w:r w:rsidR="00577746" w:rsidRPr="00577746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:rsid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</w:p>
    <w:p w:rsidR="00577746" w:rsidRPr="00577746" w:rsidRDefault="00577746" w:rsidP="0057774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17B974" wp14:editId="364797DE">
            <wp:extent cx="5400040" cy="1913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46" w:rsidRPr="00577746" w:rsidRDefault="00577746" w:rsidP="00577746"/>
    <w:p w:rsidR="00846D9B" w:rsidRDefault="00846D9B">
      <w:pPr>
        <w:rPr>
          <w:lang w:val="es-PE"/>
        </w:rPr>
      </w:pPr>
    </w:p>
    <w:p w:rsidR="00846D9B" w:rsidRDefault="00846D9B">
      <w:pPr>
        <w:rPr>
          <w:lang w:val="es-PE"/>
        </w:rPr>
      </w:pPr>
    </w:p>
    <w:p w:rsidR="00846D9B" w:rsidRDefault="00577746" w:rsidP="00577746">
      <w:pPr>
        <w:pStyle w:val="Ttulo3"/>
        <w:rPr>
          <w:lang w:val="es-PE"/>
        </w:rPr>
      </w:pPr>
      <w:bookmarkStart w:id="11" w:name="_Toc30451504"/>
      <w:r>
        <w:rPr>
          <w:lang w:val="es-PE"/>
        </w:rPr>
        <w:t>Paso 4:</w:t>
      </w:r>
      <w:bookmarkEnd w:id="11"/>
      <w:r>
        <w:rPr>
          <w:lang w:val="es-PE"/>
        </w:rPr>
        <w:t xml:space="preserve"> </w:t>
      </w:r>
    </w:p>
    <w:p w:rsidR="00577746" w:rsidRPr="00577746" w:rsidRDefault="00577746" w:rsidP="0057774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Monto de la retención.</w:t>
      </w:r>
    </w:p>
    <w:p w:rsidR="00577746" w:rsidRPr="00577746" w:rsidRDefault="00577746" w:rsidP="0057774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Finalmente, para obtener el monto que debes retener cada mes, deberás dividir el impuesto anual proyectado de acuerdo a lo siguiente:</w:t>
      </w:r>
    </w:p>
    <w:p w:rsidR="00577746" w:rsidRPr="00577746" w:rsidRDefault="00577746" w:rsidP="00577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En los </w:t>
      </w: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meses de enero a marzo</w:t>
      </w: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, el impuesto anual se divide entre doce.</w:t>
      </w:r>
    </w:p>
    <w:p w:rsidR="00577746" w:rsidRPr="00577746" w:rsidRDefault="00577746" w:rsidP="00577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En el </w:t>
      </w: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mes de abril</w:t>
      </w: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, al impuesto anual se le deducen las retenciones efectuadas de enero a marzo. El resultado se divide entre 9.</w:t>
      </w:r>
    </w:p>
    <w:p w:rsidR="00577746" w:rsidRPr="00577746" w:rsidRDefault="00577746" w:rsidP="00577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En los </w:t>
      </w: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meses de mayo a julio</w:t>
      </w: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, al impuesto anual se le deducen las retenciones efectuadas en los meses de enero a abril. El resultado se divide entre 8.</w:t>
      </w:r>
    </w:p>
    <w:p w:rsidR="00577746" w:rsidRPr="00577746" w:rsidRDefault="00577746" w:rsidP="00577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En el </w:t>
      </w: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mes de agosto</w:t>
      </w: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, al impuesto anual se le deducen las retenciones efectuadas en los meses de enero a julio. El resultado se divide entre 5.</w:t>
      </w:r>
    </w:p>
    <w:p w:rsidR="00577746" w:rsidRPr="00577746" w:rsidRDefault="00577746" w:rsidP="00577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En los </w:t>
      </w: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meses de setiembre a noviembre</w:t>
      </w: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, al impuesto anual se le deducen las retenciones efectuadas en los meses de enero a agosto. El resultado se divide entre 4.</w:t>
      </w:r>
    </w:p>
    <w:p w:rsidR="00577746" w:rsidRPr="00577746" w:rsidRDefault="00577746" w:rsidP="00143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En el </w:t>
      </w:r>
      <w:r w:rsidRPr="00577746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mes de diciembre</w:t>
      </w:r>
      <w:r w:rsidRPr="00577746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, con motivo de la regularización anual, al impuesto anual se le deducirá las retenciones efectuadas en los meses de enero a noviembre del mismo ejercicio.</w:t>
      </w:r>
    </w:p>
    <w:p w:rsidR="00577746" w:rsidRDefault="00577746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9FEE79B" wp14:editId="704B5BFC">
            <wp:extent cx="5902325" cy="215966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846" cy="2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9B" w:rsidRDefault="00143698" w:rsidP="00143698">
      <w:pPr>
        <w:pStyle w:val="Ttulo3"/>
        <w:rPr>
          <w:lang w:val="es-PE"/>
        </w:rPr>
      </w:pPr>
      <w:bookmarkStart w:id="12" w:name="_Toc30451505"/>
      <w:r>
        <w:rPr>
          <w:lang w:val="es-PE"/>
        </w:rPr>
        <w:t>Paso 5:</w:t>
      </w:r>
      <w:bookmarkEnd w:id="12"/>
      <w:r>
        <w:rPr>
          <w:lang w:val="es-PE"/>
        </w:rPr>
        <w:t xml:space="preserve"> </w:t>
      </w:r>
    </w:p>
    <w:p w:rsidR="00143698" w:rsidRPr="00143698" w:rsidRDefault="00143698" w:rsidP="001436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143698">
        <w:rPr>
          <w:rFonts w:ascii="Arial" w:eastAsia="Times New Roman" w:hAnsi="Arial" w:cs="Arial"/>
          <w:bCs/>
          <w:color w:val="333333"/>
          <w:sz w:val="32"/>
          <w:szCs w:val="32"/>
          <w:lang w:val="es-PE" w:eastAsia="es-PE"/>
        </w:rPr>
        <w:t>Cálculo adicional SOLO para los meses en que el trabajador ha recibido pagos distintos a las remuneraciones y gratificaciones ordinarias.</w:t>
      </w:r>
    </w:p>
    <w:p w:rsidR="00143698" w:rsidRPr="00143698" w:rsidRDefault="00143698" w:rsidP="0014369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143698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Este paso se realizará solo si en el mes por el cual se está calculado la retención, se ha puesto a disposición del trabajador pagos por conceptos distintos a la remuneración o gratificación ordinaria, esto puede ser por:</w:t>
      </w:r>
    </w:p>
    <w:p w:rsidR="00143698" w:rsidRPr="00143698" w:rsidRDefault="00143698" w:rsidP="001436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143698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Participación en las utilidades</w:t>
      </w:r>
    </w:p>
    <w:p w:rsidR="00143698" w:rsidRPr="00143698" w:rsidRDefault="00143698" w:rsidP="001436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143698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Gratificaciones o bonificaciones extraordinarias.</w:t>
      </w:r>
    </w:p>
    <w:p w:rsidR="00143698" w:rsidRDefault="00143698" w:rsidP="001436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 w:rsidRPr="00143698"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  <w:t>Cualquier otro concepto extraordinario.</w:t>
      </w:r>
    </w:p>
    <w:p w:rsidR="00143698" w:rsidRPr="00143698" w:rsidRDefault="00143698" w:rsidP="001436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350DAFA6" wp14:editId="35572D6F">
            <wp:extent cx="6204585" cy="32004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734" cy="32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98" w:rsidRDefault="00143698" w:rsidP="00143698">
      <w:pPr>
        <w:rPr>
          <w:lang w:val="es-PE"/>
        </w:rPr>
      </w:pPr>
    </w:p>
    <w:p w:rsidR="00272153" w:rsidRDefault="00272153" w:rsidP="00272153">
      <w:pPr>
        <w:pStyle w:val="Ttulo2"/>
      </w:pPr>
      <w:bookmarkStart w:id="13" w:name="_Toc30451506"/>
      <w:r w:rsidRPr="00272153">
        <w:lastRenderedPageBreak/>
        <w:t>4. bibliografía</w:t>
      </w:r>
      <w:bookmarkEnd w:id="13"/>
      <w:r w:rsidRPr="00272153">
        <w:t xml:space="preserve"> </w:t>
      </w:r>
    </w:p>
    <w:p w:rsidR="00272153" w:rsidRDefault="00ED43D8" w:rsidP="00272153">
      <w:pPr>
        <w:pStyle w:val="Ttulo2"/>
      </w:pPr>
      <w:hyperlink r:id="rId12" w:history="1">
        <w:bookmarkStart w:id="14" w:name="_Toc30451507"/>
        <w:r w:rsidR="00272153">
          <w:rPr>
            <w:rStyle w:val="Hipervnculo"/>
          </w:rPr>
          <w:t>http://orientacion.sunat.gob.pe/index.php/personas-menu/impuesto-a-la-renta-personas-ultimo/rentas-de-quinta-categoria-personas/3071-02-calculo-del-impuesto</w:t>
        </w:r>
        <w:bookmarkEnd w:id="14"/>
      </w:hyperlink>
    </w:p>
    <w:p w:rsidR="00272153" w:rsidRDefault="00272153" w:rsidP="00272153">
      <w:pPr>
        <w:pStyle w:val="Ttulo2"/>
      </w:pPr>
    </w:p>
    <w:p w:rsidR="00272153" w:rsidRDefault="00ED43D8" w:rsidP="00272153">
      <w:pPr>
        <w:pStyle w:val="Ttulo2"/>
        <w:rPr>
          <w:rStyle w:val="Hipervnculo"/>
        </w:rPr>
      </w:pPr>
      <w:hyperlink r:id="rId13" w:history="1">
        <w:bookmarkStart w:id="15" w:name="_Toc30451508"/>
        <w:r w:rsidR="00272153">
          <w:rPr>
            <w:rStyle w:val="Hipervnculo"/>
          </w:rPr>
          <w:t>http://orientacion.sunat.gob.pe/index.php/empresas-menu/impuesto-a-la-renta-empresas/regimen-general-del-impuesto-a-la-renta-empresas/concepto-del-impuesto-a-la-renta-regimen-general/2895-01-concepto-impuesto-a-la-renta-empresas</w:t>
        </w:r>
        <w:bookmarkEnd w:id="15"/>
      </w:hyperlink>
    </w:p>
    <w:p w:rsidR="00ED43D8" w:rsidRPr="00272153" w:rsidRDefault="00ED43D8" w:rsidP="00272153">
      <w:pPr>
        <w:pStyle w:val="Ttulo2"/>
      </w:pPr>
      <w:hyperlink r:id="rId14" w:history="1">
        <w:r>
          <w:rPr>
            <w:rStyle w:val="Hipervnculo"/>
          </w:rPr>
          <w:t>http://renta.sunat.gob.pe/simula</w:t>
        </w:r>
        <w:bookmarkStart w:id="16" w:name="_GoBack"/>
        <w:bookmarkEnd w:id="16"/>
        <w:r>
          <w:rPr>
            <w:rStyle w:val="Hipervnculo"/>
          </w:rPr>
          <w:t>dores/cuarta_quinta</w:t>
        </w:r>
      </w:hyperlink>
    </w:p>
    <w:sectPr w:rsidR="00ED43D8" w:rsidRPr="00272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424F"/>
    <w:multiLevelType w:val="multilevel"/>
    <w:tmpl w:val="0F7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8224A"/>
    <w:multiLevelType w:val="multilevel"/>
    <w:tmpl w:val="6A88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13"/>
    <w:rsid w:val="00003F71"/>
    <w:rsid w:val="00143698"/>
    <w:rsid w:val="001D173A"/>
    <w:rsid w:val="00272153"/>
    <w:rsid w:val="002D5920"/>
    <w:rsid w:val="002F3B13"/>
    <w:rsid w:val="0041153A"/>
    <w:rsid w:val="004647E1"/>
    <w:rsid w:val="00577746"/>
    <w:rsid w:val="006E48EF"/>
    <w:rsid w:val="007C7A97"/>
    <w:rsid w:val="00846D9B"/>
    <w:rsid w:val="009627B6"/>
    <w:rsid w:val="00B00088"/>
    <w:rsid w:val="00B52B45"/>
    <w:rsid w:val="00B559E6"/>
    <w:rsid w:val="00E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3EF9"/>
  <w15:chartTrackingRefBased/>
  <w15:docId w15:val="{D25A2D16-9B04-450D-922B-E1072415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115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tulo2">
    <w:name w:val="heading 2"/>
    <w:basedOn w:val="Normal"/>
    <w:link w:val="Ttulo2Car"/>
    <w:uiPriority w:val="9"/>
    <w:qFormat/>
    <w:rsid w:val="00411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23E4F" w:themeColor="text2" w:themeShade="BF"/>
      <w:sz w:val="36"/>
      <w:szCs w:val="36"/>
      <w:lang w:val="es-PE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153A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E74B5" w:themeColor="accent1" w:themeShade="BF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153A"/>
    <w:rPr>
      <w:rFonts w:ascii="Times New Roman" w:eastAsia="Times New Roman" w:hAnsi="Times New Roman" w:cs="Times New Roman"/>
      <w:b/>
      <w:bCs/>
      <w:color w:val="323E4F" w:themeColor="text2" w:themeShade="BF"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4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846D9B"/>
    <w:rPr>
      <w:b/>
      <w:bCs/>
    </w:rPr>
  </w:style>
  <w:style w:type="character" w:customStyle="1" w:styleId="costo">
    <w:name w:val="costo"/>
    <w:basedOn w:val="Fuentedeprrafopredeter"/>
    <w:rsid w:val="00846D9B"/>
  </w:style>
  <w:style w:type="character" w:customStyle="1" w:styleId="Ttulo1Car">
    <w:name w:val="Título 1 Car"/>
    <w:basedOn w:val="Fuentedeprrafopredeter"/>
    <w:link w:val="Ttulo1"/>
    <w:uiPriority w:val="9"/>
    <w:rsid w:val="0041153A"/>
    <w:rPr>
      <w:rFonts w:asciiTheme="majorHAnsi" w:eastAsiaTheme="majorEastAsia" w:hAnsiTheme="majorHAnsi" w:cstheme="majorBidi"/>
      <w:color w:val="2E74B5" w:themeColor="accent1" w:themeShade="BF"/>
      <w:sz w:val="48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41153A"/>
    <w:rPr>
      <w:rFonts w:ascii="Arial" w:eastAsiaTheme="majorEastAsia" w:hAnsi="Arial" w:cstheme="majorBidi"/>
      <w:color w:val="2E74B5" w:themeColor="accent1" w:themeShade="BF"/>
      <w:sz w:val="32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143698"/>
    <w:pPr>
      <w:jc w:val="left"/>
      <w:outlineLvl w:val="9"/>
    </w:pPr>
    <w:rPr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436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36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4369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43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orientacion.sunat.gob.pe/index.php/empresas-menu/impuesto-a-la-renta-empresas/regimen-general-del-impuesto-a-la-renta-empresas/concepto-del-impuesto-a-la-renta-regimen-general/2895-01-concepto-impuesto-a-la-renta-empres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orientacion.sunat.gob.pe/index.php/personas-menu/impuesto-a-la-renta-personas-ultimo/rentas-de-quinta-categoria-personas/3071-02-calculo-del-impuest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renta.sunat.gob.pe/simuladores/cuarta_quin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20ED0-4DA8-4C9D-82AD-AE776973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1080</Words>
  <Characters>5943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Paucar Meneses</dc:creator>
  <cp:keywords/>
  <dc:description/>
  <cp:lastModifiedBy>Alumno</cp:lastModifiedBy>
  <cp:revision>14</cp:revision>
  <dcterms:created xsi:type="dcterms:W3CDTF">2020-01-20T15:39:00Z</dcterms:created>
  <dcterms:modified xsi:type="dcterms:W3CDTF">2020-01-21T17:26:00Z</dcterms:modified>
</cp:coreProperties>
</file>