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F79BE" w:rsidRDefault="0074092C">
      <w:pPr>
        <w:pStyle w:val="Ttulo"/>
        <w:ind w:hanging="284"/>
        <w:rPr>
          <w:color w:val="44546A"/>
        </w:rPr>
      </w:pPr>
      <w:r>
        <w:rPr>
          <w:color w:val="44546A"/>
        </w:rPr>
        <w:t>PROYECTO DE CICLO</w:t>
      </w:r>
    </w:p>
    <w:p w14:paraId="00000002" w14:textId="77777777" w:rsidR="00CF79BE" w:rsidRDefault="0074092C">
      <w:pPr>
        <w:pStyle w:val="Ttulo1"/>
        <w:ind w:hanging="284"/>
      </w:pPr>
      <w:r>
        <w:t>INTEGRANTES</w:t>
      </w:r>
    </w:p>
    <w:p w14:paraId="00000003" w14:textId="77777777" w:rsidR="00CF79BE" w:rsidRDefault="0074092C" w:rsidP="00755B2F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755B2F">
        <w:rPr>
          <w:color w:val="000000"/>
        </w:rPr>
        <w:t>Estudiante 1:</w:t>
      </w:r>
      <w:r>
        <w:t xml:space="preserve"> </w:t>
      </w:r>
      <w:proofErr w:type="spellStart"/>
      <w:r>
        <w:t>Martinez</w:t>
      </w:r>
      <w:proofErr w:type="spellEnd"/>
      <w:r>
        <w:t xml:space="preserve"> Arista, Gabriel Gibson </w:t>
      </w:r>
      <w:r>
        <w:tab/>
      </w:r>
      <w:r>
        <w:tab/>
        <w:t>20232093B</w:t>
      </w:r>
    </w:p>
    <w:p w14:paraId="00000004" w14:textId="77777777" w:rsidR="00CF79BE" w:rsidRDefault="0074092C" w:rsidP="00755B2F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755B2F">
        <w:rPr>
          <w:color w:val="000000"/>
        </w:rPr>
        <w:t>Estudiante 2: Preciado Jiménez, Daniel Sam</w:t>
      </w:r>
      <w:r w:rsidRPr="00755B2F">
        <w:rPr>
          <w:color w:val="000000"/>
        </w:rPr>
        <w:tab/>
      </w:r>
      <w:r w:rsidRPr="00755B2F">
        <w:rPr>
          <w:color w:val="000000"/>
        </w:rPr>
        <w:tab/>
      </w:r>
      <w:r w:rsidRPr="00755B2F">
        <w:rPr>
          <w:color w:val="000000"/>
        </w:rPr>
        <w:tab/>
      </w:r>
      <w:r>
        <w:t>20230075G</w:t>
      </w:r>
    </w:p>
    <w:p w14:paraId="00000005" w14:textId="77777777" w:rsidR="00CF79BE" w:rsidRDefault="0074092C" w:rsidP="00755B2F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755B2F">
        <w:rPr>
          <w:color w:val="000000"/>
        </w:rPr>
        <w:t xml:space="preserve">Estudiante 3: </w:t>
      </w:r>
      <w:proofErr w:type="spellStart"/>
      <w:r>
        <w:t>N</w:t>
      </w:r>
      <w:r w:rsidRPr="00755B2F">
        <w:rPr>
          <w:color w:val="000000"/>
        </w:rPr>
        <w:t>uñez</w:t>
      </w:r>
      <w:proofErr w:type="spellEnd"/>
      <w:r w:rsidRPr="00755B2F">
        <w:rPr>
          <w:color w:val="000000"/>
        </w:rPr>
        <w:t xml:space="preserve"> </w:t>
      </w:r>
      <w:proofErr w:type="spellStart"/>
      <w:r>
        <w:t>P</w:t>
      </w:r>
      <w:r w:rsidRPr="00755B2F">
        <w:rPr>
          <w:color w:val="000000"/>
        </w:rPr>
        <w:t>rincipe</w:t>
      </w:r>
      <w:proofErr w:type="spellEnd"/>
      <w:r w:rsidRPr="00755B2F">
        <w:rPr>
          <w:color w:val="000000"/>
        </w:rPr>
        <w:t xml:space="preserve">, </w:t>
      </w:r>
      <w:r>
        <w:t>L</w:t>
      </w:r>
      <w:r w:rsidRPr="00755B2F">
        <w:rPr>
          <w:color w:val="000000"/>
        </w:rPr>
        <w:t xml:space="preserve">uis </w:t>
      </w:r>
      <w:r>
        <w:t>R</w:t>
      </w:r>
      <w:r w:rsidRPr="00755B2F">
        <w:rPr>
          <w:color w:val="000000"/>
        </w:rPr>
        <w:t>odrigo</w:t>
      </w:r>
      <w:r w:rsidRPr="00755B2F">
        <w:rPr>
          <w:color w:val="000000"/>
        </w:rPr>
        <w:tab/>
      </w:r>
      <w:r w:rsidRPr="00755B2F">
        <w:rPr>
          <w:color w:val="000000"/>
        </w:rPr>
        <w:tab/>
      </w:r>
      <w:r w:rsidRPr="00755B2F">
        <w:rPr>
          <w:color w:val="000000"/>
        </w:rPr>
        <w:tab/>
        <w:t>20231156K</w:t>
      </w:r>
    </w:p>
    <w:p w14:paraId="00000006" w14:textId="693AC58B" w:rsidR="00CF79BE" w:rsidRPr="00755B2F" w:rsidRDefault="0074092C" w:rsidP="00755B2F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55B2F">
        <w:rPr>
          <w:color w:val="000000"/>
        </w:rPr>
        <w:t xml:space="preserve">Estudiante 4: </w:t>
      </w:r>
      <w:r>
        <w:t>Á</w:t>
      </w:r>
      <w:r w:rsidRPr="00755B2F">
        <w:rPr>
          <w:color w:val="000000"/>
        </w:rPr>
        <w:t xml:space="preserve">guila </w:t>
      </w:r>
      <w:r>
        <w:t>S</w:t>
      </w:r>
      <w:r w:rsidRPr="00755B2F">
        <w:rPr>
          <w:color w:val="000000"/>
        </w:rPr>
        <w:t xml:space="preserve">alvador, </w:t>
      </w:r>
      <w:proofErr w:type="spellStart"/>
      <w:r>
        <w:t>E</w:t>
      </w:r>
      <w:r w:rsidRPr="00755B2F">
        <w:rPr>
          <w:color w:val="000000"/>
        </w:rPr>
        <w:t>lisson</w:t>
      </w:r>
      <w:proofErr w:type="spellEnd"/>
      <w:r w:rsidRPr="00755B2F">
        <w:rPr>
          <w:color w:val="000000"/>
        </w:rPr>
        <w:t xml:space="preserve"> </w:t>
      </w:r>
      <w:r>
        <w:t>G</w:t>
      </w:r>
      <w:r w:rsidRPr="00755B2F">
        <w:rPr>
          <w:color w:val="000000"/>
        </w:rPr>
        <w:t>abriel</w:t>
      </w:r>
      <w:r w:rsidRPr="00755B2F">
        <w:rPr>
          <w:color w:val="000000"/>
        </w:rPr>
        <w:tab/>
      </w:r>
      <w:r w:rsidRPr="00755B2F">
        <w:rPr>
          <w:color w:val="000000"/>
        </w:rPr>
        <w:tab/>
        <w:t>20230046G</w:t>
      </w:r>
    </w:p>
    <w:p w14:paraId="0EB95538" w14:textId="0EAFE177" w:rsidR="00755B2F" w:rsidRPr="00755B2F" w:rsidRDefault="00755B2F" w:rsidP="00755B2F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55B2F">
        <w:rPr>
          <w:color w:val="000000"/>
        </w:rPr>
        <w:t xml:space="preserve">Estudiante 5: </w:t>
      </w:r>
      <w:r>
        <w:rPr>
          <w:color w:val="000000"/>
        </w:rPr>
        <w:t>Flores Carbajal, Brian</w:t>
      </w:r>
      <w:bookmarkStart w:id="0" w:name="_GoBack"/>
      <w:bookmarkEnd w:id="0"/>
    </w:p>
    <w:p w14:paraId="00000007" w14:textId="77777777" w:rsidR="00CF79BE" w:rsidRDefault="0074092C">
      <w:pPr>
        <w:pStyle w:val="Ttulo1"/>
        <w:ind w:hanging="284"/>
      </w:pPr>
      <w:r>
        <w:t>DATOS DEL PROYECTO</w:t>
      </w:r>
    </w:p>
    <w:p w14:paraId="00000008" w14:textId="77777777" w:rsidR="00CF79BE" w:rsidRDefault="0074092C">
      <w:pPr>
        <w:pStyle w:val="Ttulo2"/>
        <w:ind w:hanging="284"/>
      </w:pPr>
      <w:r>
        <w:t>Título del proyecto</w:t>
      </w:r>
    </w:p>
    <w:p w14:paraId="00000009" w14:textId="77777777" w:rsidR="00CF79BE" w:rsidRDefault="0074092C">
      <w:pPr>
        <w:rPr>
          <w:color w:val="595959"/>
        </w:rPr>
      </w:pPr>
      <w:r>
        <w:rPr>
          <w:color w:val="595959"/>
        </w:rPr>
        <w:t>“Sistema Integral de Gestión Bancaria: Facilitando la Administración Financiera”</w:t>
      </w:r>
    </w:p>
    <w:p w14:paraId="0000000A" w14:textId="77777777" w:rsidR="00CF79BE" w:rsidRDefault="0074092C">
      <w:pPr>
        <w:pStyle w:val="Ttulo2"/>
        <w:ind w:hanging="284"/>
      </w:pPr>
      <w:r>
        <w:t>Descripción del proyecto</w:t>
      </w:r>
    </w:p>
    <w:p w14:paraId="0000000B" w14:textId="77777777" w:rsidR="00CF79BE" w:rsidRDefault="0074092C">
      <w:pPr>
        <w:rPr>
          <w:color w:val="595959"/>
        </w:rPr>
      </w:pPr>
      <w:r>
        <w:rPr>
          <w:color w:val="595959"/>
        </w:rPr>
        <w:t>El proyecto consiste en el desarrollo de un sistema de gestión bancaria que permitirá a los usuarios realizar transferencias internas, solicitar y gestionar préstamos, validar y registrar transacciones, acceder a información sobre tipos de cambio y garantizar la seguridad de los datos financieros. Este sistema proporcionará una plataforma integral y segura para la administración de las finanzas personales de los clientes, ofreciendo una experiencia fluida y eficiente en todas sus operaciones bancarias.</w:t>
      </w:r>
    </w:p>
    <w:p w14:paraId="0000000C" w14:textId="77777777" w:rsidR="00CF79BE" w:rsidRDefault="0074092C">
      <w:pPr>
        <w:pStyle w:val="Ttulo2"/>
        <w:ind w:hanging="284"/>
      </w:pPr>
      <w:r>
        <w:t>Alcance</w:t>
      </w:r>
    </w:p>
    <w:p w14:paraId="0000000D" w14:textId="77777777" w:rsidR="00CF79BE" w:rsidRDefault="0074092C">
      <w:pPr>
        <w:numPr>
          <w:ilvl w:val="0"/>
          <w:numId w:val="2"/>
        </w:numPr>
        <w:rPr>
          <w:color w:val="595959"/>
        </w:rPr>
      </w:pPr>
      <w:r>
        <w:rPr>
          <w:color w:val="595959"/>
        </w:rPr>
        <w:t>Inicio de sesión: El sistema implementará esta identificación de usuario como medida de seguridad y acceso autorizado, garantizando la protección de la información financiera y la privacidad del usuario.</w:t>
      </w:r>
    </w:p>
    <w:p w14:paraId="0000000E" w14:textId="77777777" w:rsidR="00CF79BE" w:rsidRDefault="00CF79BE">
      <w:pPr>
        <w:ind w:left="720"/>
        <w:rPr>
          <w:color w:val="595959"/>
        </w:rPr>
      </w:pPr>
    </w:p>
    <w:p w14:paraId="0000000F" w14:textId="77777777" w:rsidR="00CF79BE" w:rsidRDefault="0074092C">
      <w:pPr>
        <w:numPr>
          <w:ilvl w:val="0"/>
          <w:numId w:val="2"/>
        </w:numPr>
        <w:rPr>
          <w:color w:val="595959"/>
        </w:rPr>
      </w:pPr>
      <w:r>
        <w:rPr>
          <w:color w:val="595959"/>
        </w:rPr>
        <w:t>Validación de Fondos Suficientes: Antes de procesar una transferencia o préstamo, el sistema verificará si el saldo de la cuenta de origen es suficiente.</w:t>
      </w:r>
    </w:p>
    <w:p w14:paraId="00000010" w14:textId="77777777" w:rsidR="00CF79BE" w:rsidRDefault="00CF79BE">
      <w:pPr>
        <w:ind w:left="720"/>
        <w:rPr>
          <w:color w:val="595959"/>
        </w:rPr>
      </w:pPr>
    </w:p>
    <w:p w14:paraId="00000011" w14:textId="77777777" w:rsidR="00CF79BE" w:rsidRDefault="0074092C">
      <w:pPr>
        <w:numPr>
          <w:ilvl w:val="0"/>
          <w:numId w:val="2"/>
        </w:numPr>
        <w:rPr>
          <w:color w:val="595959"/>
        </w:rPr>
      </w:pPr>
      <w:r>
        <w:rPr>
          <w:color w:val="595959"/>
        </w:rPr>
        <w:t>Gestión de Transacciones: El sistema permitirá a los usuarios realizar depósitos, retiros y transferencias de manera segura y eficiente, proporcionando una experiencia completa de administración financiera.</w:t>
      </w:r>
    </w:p>
    <w:p w14:paraId="00000012" w14:textId="77777777" w:rsidR="00CF79BE" w:rsidRDefault="00CF79BE">
      <w:pPr>
        <w:ind w:left="720"/>
        <w:rPr>
          <w:color w:val="595959"/>
        </w:rPr>
      </w:pPr>
    </w:p>
    <w:p w14:paraId="00000013" w14:textId="77777777" w:rsidR="00CF79BE" w:rsidRDefault="0074092C">
      <w:pPr>
        <w:numPr>
          <w:ilvl w:val="0"/>
          <w:numId w:val="2"/>
        </w:numPr>
        <w:spacing w:after="0"/>
        <w:rPr>
          <w:color w:val="595959"/>
        </w:rPr>
      </w:pPr>
      <w:r>
        <w:rPr>
          <w:color w:val="595959"/>
        </w:rPr>
        <w:t>Gestión de Préstamos: El sistema permitirá a los usuarios solicitar préstamos bancarios, siempre y cuando cumplan con los requisitos establecidos por el mismo.</w:t>
      </w:r>
    </w:p>
    <w:p w14:paraId="00000014" w14:textId="77777777" w:rsidR="00CF79BE" w:rsidRDefault="0074092C">
      <w:pPr>
        <w:numPr>
          <w:ilvl w:val="0"/>
          <w:numId w:val="2"/>
        </w:numPr>
        <w:rPr>
          <w:color w:val="595959"/>
        </w:rPr>
      </w:pPr>
      <w:r>
        <w:rPr>
          <w:color w:val="595959"/>
        </w:rPr>
        <w:lastRenderedPageBreak/>
        <w:t xml:space="preserve">Registro de Operaciones: El sistema registrará todas las operaciones realizadas incluyendo detalles de los últimos 10 </w:t>
      </w:r>
      <w:proofErr w:type="gramStart"/>
      <w:r>
        <w:rPr>
          <w:color w:val="595959"/>
        </w:rPr>
        <w:t>movimientos..</w:t>
      </w:r>
      <w:proofErr w:type="gramEnd"/>
    </w:p>
    <w:p w14:paraId="00000015" w14:textId="77777777" w:rsidR="00CF79BE" w:rsidRDefault="00CF79BE">
      <w:pPr>
        <w:ind w:left="720"/>
        <w:rPr>
          <w:color w:val="595959"/>
        </w:rPr>
      </w:pPr>
    </w:p>
    <w:p w14:paraId="00000016" w14:textId="77777777" w:rsidR="00CF79BE" w:rsidRDefault="0074092C">
      <w:pPr>
        <w:numPr>
          <w:ilvl w:val="0"/>
          <w:numId w:val="2"/>
        </w:numPr>
        <w:rPr>
          <w:color w:val="595959"/>
        </w:rPr>
      </w:pPr>
      <w:r>
        <w:rPr>
          <w:color w:val="595959"/>
        </w:rPr>
        <w:t>Gestión de Tipo de Cambio: El sistema proporcionará información actualizada sobre los tipos de cambio, permitiendo a los usuarios realizar conversiones de monedas (soles a dólares y viceversa).</w:t>
      </w:r>
    </w:p>
    <w:p w14:paraId="00000017" w14:textId="77777777" w:rsidR="00CF79BE" w:rsidRDefault="00CF79BE">
      <w:pPr>
        <w:ind w:left="720"/>
        <w:rPr>
          <w:color w:val="595959"/>
        </w:rPr>
      </w:pPr>
    </w:p>
    <w:p w14:paraId="00000018" w14:textId="77777777" w:rsidR="00CF79BE" w:rsidRDefault="0074092C">
      <w:pPr>
        <w:numPr>
          <w:ilvl w:val="0"/>
          <w:numId w:val="2"/>
        </w:numPr>
        <w:rPr>
          <w:color w:val="595959"/>
        </w:rPr>
      </w:pPr>
      <w:r>
        <w:rPr>
          <w:color w:val="595959"/>
        </w:rPr>
        <w:t>Satisfacción del cliente: Permite que el cliente comunique su satisfacción con el servicio.</w:t>
      </w:r>
    </w:p>
    <w:p w14:paraId="00000019" w14:textId="77777777" w:rsidR="00CF79BE" w:rsidRDefault="00CF79BE">
      <w:pPr>
        <w:rPr>
          <w:color w:val="595959"/>
        </w:rPr>
      </w:pPr>
    </w:p>
    <w:p w14:paraId="0000001A" w14:textId="77777777" w:rsidR="00CF79BE" w:rsidRDefault="0074092C">
      <w:pPr>
        <w:pBdr>
          <w:top w:val="nil"/>
          <w:left w:val="nil"/>
          <w:bottom w:val="nil"/>
          <w:right w:val="nil"/>
          <w:between w:val="nil"/>
        </w:pBdr>
        <w:rPr>
          <w:color w:val="595959"/>
        </w:rPr>
      </w:pPr>
      <w:r>
        <w:rPr>
          <w:rFonts w:ascii="Arial" w:eastAsia="Arial" w:hAnsi="Arial" w:cs="Arial"/>
          <w:b/>
          <w:color w:val="44546A"/>
          <w:sz w:val="26"/>
          <w:szCs w:val="26"/>
        </w:rPr>
        <w:t>Límites</w:t>
      </w:r>
    </w:p>
    <w:p w14:paraId="0000001B" w14:textId="77777777" w:rsidR="00CF79BE" w:rsidRDefault="00740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595959"/>
        </w:rPr>
      </w:pPr>
      <w:r>
        <w:rPr>
          <w:color w:val="595959"/>
        </w:rPr>
        <w:t>Límites de Transacción: El sistema establecerá límites máximos para el monto de las transferencias y préstamos que un usuario puede realizar en un período de tiempo específico.</w:t>
      </w:r>
    </w:p>
    <w:p w14:paraId="0000001C" w14:textId="77777777" w:rsidR="00CF79BE" w:rsidRDefault="00CF79B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595959"/>
        </w:rPr>
      </w:pPr>
    </w:p>
    <w:p w14:paraId="0000001D" w14:textId="77777777" w:rsidR="00CF79BE" w:rsidRDefault="00740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595959"/>
        </w:rPr>
      </w:pPr>
      <w:r>
        <w:rPr>
          <w:color w:val="595959"/>
        </w:rPr>
        <w:t>Límites de Cuentas: El sistema impondrá límites en el número de cuentas que un usuario puede abrir y en el saldo máximo permitido en cada cuenta.</w:t>
      </w:r>
    </w:p>
    <w:p w14:paraId="0000001E" w14:textId="77777777" w:rsidR="00CF79BE" w:rsidRDefault="00CF79B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595959"/>
        </w:rPr>
      </w:pPr>
    </w:p>
    <w:p w14:paraId="0000001F" w14:textId="77777777" w:rsidR="00CF79BE" w:rsidRDefault="00740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595959"/>
        </w:rPr>
      </w:pPr>
      <w:r>
        <w:rPr>
          <w:color w:val="595959"/>
        </w:rPr>
        <w:t>Límites de Tiempo: El sistema no podrá limitar la cantidad de tiempo que un usuario puede estar activo.</w:t>
      </w:r>
    </w:p>
    <w:p w14:paraId="00000020" w14:textId="77777777" w:rsidR="00CF79BE" w:rsidRDefault="00CF79B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595959"/>
        </w:rPr>
      </w:pPr>
    </w:p>
    <w:p w14:paraId="00000021" w14:textId="77777777" w:rsidR="00CF79BE" w:rsidRDefault="00740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595959"/>
        </w:rPr>
      </w:pPr>
      <w:r>
        <w:rPr>
          <w:color w:val="595959"/>
        </w:rPr>
        <w:t>Límites de Intereses en Préstamos: El sistema establecerá límites en la tasa interés máxima que se puede cobrar en los préstamos, de acuerdo con las regulaciones financieras.</w:t>
      </w:r>
    </w:p>
    <w:p w14:paraId="00000022" w14:textId="77777777" w:rsidR="00CF79BE" w:rsidRDefault="00CF79B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595959"/>
        </w:rPr>
      </w:pPr>
    </w:p>
    <w:p w14:paraId="00000023" w14:textId="77777777" w:rsidR="00CF79BE" w:rsidRDefault="00740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595959"/>
        </w:rPr>
      </w:pPr>
      <w:r>
        <w:rPr>
          <w:color w:val="595959"/>
        </w:rPr>
        <w:t>Límites de Monto en Préstamos: El sistema establecerá límites en el monto máximo que se puede solicitar como préstamo, dependiendo del historial crediticio y la capacidad de pago del solicitante.</w:t>
      </w:r>
    </w:p>
    <w:p w14:paraId="00000024" w14:textId="77777777" w:rsidR="00CF79BE" w:rsidRDefault="00CF79B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595959"/>
        </w:rPr>
      </w:pPr>
    </w:p>
    <w:p w14:paraId="00000025" w14:textId="77777777" w:rsidR="00CF79BE" w:rsidRDefault="007409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  <w:r>
        <w:rPr>
          <w:color w:val="434343"/>
        </w:rPr>
        <w:t>Límites de Tasa de Conversión de Divisas: El sistema establecerá límites en la tasa de conversión de divisas para evitar pérdidas.</w:t>
      </w:r>
    </w:p>
    <w:p w14:paraId="00000026" w14:textId="77777777" w:rsidR="00CF79BE" w:rsidRDefault="00CF79BE">
      <w:pPr>
        <w:rPr>
          <w:color w:val="595959"/>
        </w:rPr>
      </w:pPr>
    </w:p>
    <w:p w14:paraId="339F77EF" w14:textId="77777777" w:rsidR="0074092C" w:rsidRDefault="0074092C">
      <w:pPr>
        <w:pStyle w:val="Ttulo2"/>
        <w:ind w:hanging="284"/>
      </w:pPr>
    </w:p>
    <w:p w14:paraId="07C8CAEB" w14:textId="77777777" w:rsidR="0074092C" w:rsidRDefault="0074092C">
      <w:pPr>
        <w:pStyle w:val="Ttulo2"/>
        <w:ind w:hanging="284"/>
      </w:pPr>
    </w:p>
    <w:p w14:paraId="00000027" w14:textId="77777777" w:rsidR="00CF79BE" w:rsidRDefault="0074092C">
      <w:pPr>
        <w:pStyle w:val="Ttulo2"/>
        <w:ind w:hanging="284"/>
        <w:rPr>
          <w:color w:val="434343"/>
        </w:rPr>
      </w:pPr>
      <w:r>
        <w:t>Indicadores</w:t>
      </w:r>
    </w:p>
    <w:p w14:paraId="00000028" w14:textId="77777777" w:rsidR="00CF79BE" w:rsidRDefault="0074092C">
      <w:pPr>
        <w:numPr>
          <w:ilvl w:val="0"/>
          <w:numId w:val="3"/>
        </w:numPr>
        <w:rPr>
          <w:color w:val="434343"/>
        </w:rPr>
      </w:pPr>
      <w:r>
        <w:rPr>
          <w:color w:val="434343"/>
        </w:rPr>
        <w:t>Tasa de interés</w:t>
      </w:r>
    </w:p>
    <w:p w14:paraId="00000029" w14:textId="77777777" w:rsidR="00CF79BE" w:rsidRPr="0074092C" w:rsidRDefault="0074092C">
      <w:pPr>
        <w:spacing w:before="240" w:after="240"/>
        <w:ind w:left="360"/>
        <w:jc w:val="center"/>
        <w:rPr>
          <w:szCs w:val="26"/>
        </w:rPr>
      </w:pPr>
      <m:oMathPara>
        <m:oMath>
          <m:r>
            <w:rPr>
              <w:rFonts w:ascii="Cambria Math" w:hAnsi="Cambria Math"/>
              <w:color w:val="434343"/>
              <w:szCs w:val="26"/>
            </w:rPr>
            <m:t>Tasa de interés diaria=(</m:t>
          </m:r>
          <m:f>
            <m:fPr>
              <m:ctrlPr>
                <w:rPr>
                  <w:rFonts w:ascii="Cambria Math" w:hAnsi="Cambria Math"/>
                  <w:color w:val="434343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434343"/>
                  <w:szCs w:val="26"/>
                </w:rPr>
                <m:t>Tasa de interés anual en decimales</m:t>
              </m:r>
            </m:num>
            <m:den>
              <m:r>
                <w:rPr>
                  <w:rFonts w:ascii="Cambria Math" w:hAnsi="Cambria Math"/>
                  <w:color w:val="434343"/>
                  <w:szCs w:val="26"/>
                </w:rPr>
                <m:t>360 días</m:t>
              </m:r>
            </m:den>
          </m:f>
          <m:r>
            <w:rPr>
              <w:rFonts w:ascii="Cambria Math" w:hAnsi="Cambria Math"/>
              <w:color w:val="434343"/>
              <w:szCs w:val="26"/>
            </w:rPr>
            <m:t>)×(Saldo principal)</m:t>
          </m:r>
        </m:oMath>
      </m:oMathPara>
    </w:p>
    <w:p w14:paraId="0000002A" w14:textId="77777777" w:rsidR="00CF79BE" w:rsidRDefault="0074092C">
      <w:pPr>
        <w:numPr>
          <w:ilvl w:val="0"/>
          <w:numId w:val="3"/>
        </w:numPr>
        <w:rPr>
          <w:color w:val="434343"/>
        </w:rPr>
      </w:pPr>
      <w:r>
        <w:rPr>
          <w:color w:val="434343"/>
        </w:rPr>
        <w:t>Tipo de cambio</w:t>
      </w:r>
    </w:p>
    <w:p w14:paraId="0000002B" w14:textId="77777777" w:rsidR="00CF79BE" w:rsidRDefault="0074092C">
      <w:pPr>
        <w:jc w:val="center"/>
        <w:rPr>
          <w:color w:val="434343"/>
          <w:sz w:val="26"/>
          <w:szCs w:val="26"/>
        </w:rPr>
      </w:pPr>
      <m:oMathPara>
        <m:oMath>
          <m:r>
            <w:rPr>
              <w:rFonts w:ascii="Cambria Math" w:hAnsi="Cambria Math"/>
              <w:color w:val="434343"/>
              <w:sz w:val="26"/>
              <w:szCs w:val="26"/>
            </w:rPr>
            <m:t>Tipo de cambio=</m:t>
          </m:r>
          <m:f>
            <m:fPr>
              <m:ctrlPr>
                <w:rPr>
                  <w:rFonts w:ascii="Cambria Math" w:hAnsi="Cambria Math"/>
                  <w:color w:val="434343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434343"/>
                  <w:sz w:val="26"/>
                  <w:szCs w:val="26"/>
                </w:rPr>
                <m:t>Divisa cotizada</m:t>
              </m:r>
            </m:num>
            <m:den>
              <m:r>
                <w:rPr>
                  <w:rFonts w:ascii="Cambria Math" w:hAnsi="Cambria Math"/>
                  <w:color w:val="434343"/>
                  <w:sz w:val="26"/>
                  <w:szCs w:val="26"/>
                </w:rPr>
                <m:t>Divisa base</m:t>
              </m:r>
            </m:den>
          </m:f>
        </m:oMath>
      </m:oMathPara>
    </w:p>
    <w:p w14:paraId="0000002C" w14:textId="77777777" w:rsidR="00CF79BE" w:rsidRDefault="00CF79BE">
      <w:pPr>
        <w:jc w:val="center"/>
        <w:rPr>
          <w:color w:val="434343"/>
          <w:sz w:val="6"/>
          <w:szCs w:val="6"/>
        </w:rPr>
      </w:pPr>
    </w:p>
    <w:p w14:paraId="0000002D" w14:textId="77777777" w:rsidR="00CF79BE" w:rsidRDefault="0074092C">
      <w:pPr>
        <w:numPr>
          <w:ilvl w:val="0"/>
          <w:numId w:val="3"/>
        </w:numPr>
        <w:spacing w:before="240" w:after="240"/>
        <w:rPr>
          <w:color w:val="434343"/>
        </w:rPr>
      </w:pPr>
      <w:r>
        <w:rPr>
          <w:color w:val="434343"/>
        </w:rPr>
        <w:t>Precisión de Tipos de Cambio: Este indicador evalúa la precisión de los tipos de cambio proporcionados por el sistema en comparación con los valores reales del mercado.</w:t>
      </w:r>
    </w:p>
    <w:p w14:paraId="0000002E" w14:textId="77777777" w:rsidR="00CF79BE" w:rsidRPr="0074092C" w:rsidRDefault="0074092C">
      <w:pPr>
        <w:spacing w:before="240" w:after="240"/>
        <w:ind w:left="360"/>
        <w:jc w:val="center"/>
        <w:rPr>
          <w:color w:val="434343"/>
          <w:sz w:val="18"/>
          <w:szCs w:val="26"/>
        </w:rPr>
      </w:pPr>
      <m:oMathPara>
        <m:oMath>
          <m:r>
            <w:rPr>
              <w:rFonts w:ascii="Cambria Math" w:hAnsi="Cambria Math"/>
              <w:color w:val="434343"/>
              <w:sz w:val="18"/>
              <w:szCs w:val="26"/>
            </w:rPr>
            <m:t>Precisión de tipos de cambio=(100-</m:t>
          </m:r>
          <m:f>
            <m:fPr>
              <m:ctrlPr>
                <w:rPr>
                  <w:rFonts w:ascii="Cambria Math" w:hAnsi="Cambria Math"/>
                  <w:color w:val="434343"/>
                  <w:sz w:val="18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434343"/>
                  <w:sz w:val="18"/>
                  <w:szCs w:val="26"/>
                </w:rPr>
                <m:t>Tipo de cambio del sistema</m:t>
              </m:r>
            </m:num>
            <m:den>
              <m:r>
                <w:rPr>
                  <w:rFonts w:ascii="Cambria Math" w:hAnsi="Cambria Math"/>
                  <w:color w:val="434343"/>
                  <w:sz w:val="18"/>
                  <w:szCs w:val="26"/>
                </w:rPr>
                <m:t>Tipo de cambio de instituciones financieras reconocidas</m:t>
              </m:r>
            </m:den>
          </m:f>
          <m:r>
            <w:rPr>
              <w:rFonts w:ascii="Cambria Math" w:hAnsi="Cambria Math"/>
              <w:color w:val="434343"/>
              <w:sz w:val="18"/>
              <w:szCs w:val="26"/>
            </w:rPr>
            <m:t>×100)</m:t>
          </m:r>
        </m:oMath>
      </m:oMathPara>
    </w:p>
    <w:p w14:paraId="0000002F" w14:textId="77777777" w:rsidR="00CF79BE" w:rsidRDefault="00CF79BE">
      <w:pPr>
        <w:spacing w:before="240" w:after="240"/>
        <w:ind w:left="360"/>
        <w:jc w:val="center"/>
        <w:rPr>
          <w:color w:val="434343"/>
          <w:sz w:val="2"/>
          <w:szCs w:val="2"/>
        </w:rPr>
      </w:pPr>
    </w:p>
    <w:p w14:paraId="00000030" w14:textId="77777777" w:rsidR="00CF79BE" w:rsidRDefault="0074092C">
      <w:pPr>
        <w:numPr>
          <w:ilvl w:val="0"/>
          <w:numId w:val="3"/>
        </w:numPr>
        <w:rPr>
          <w:color w:val="434343"/>
        </w:rPr>
      </w:pPr>
      <w:r>
        <w:rPr>
          <w:color w:val="434343"/>
        </w:rPr>
        <w:t xml:space="preserve">Índice de Satisfacción del Cliente: Consiste en sumar las puntuaciones obtenidas, dividirlas por el total de encuestados y finalmente multiplicar ese resultado por 10. </w:t>
      </w:r>
    </w:p>
    <w:p w14:paraId="00000031" w14:textId="41429D75" w:rsidR="00CF79BE" w:rsidRDefault="0074092C">
      <w:pPr>
        <w:spacing w:before="240" w:after="240"/>
        <w:ind w:left="360"/>
        <w:jc w:val="center"/>
        <w:rPr>
          <w:color w:val="434343"/>
          <w:highlight w:val="white"/>
        </w:rPr>
      </w:pPr>
      <m:oMathPara>
        <m:oMath>
          <m:r>
            <w:rPr>
              <w:rFonts w:ascii="Cambria Math" w:hAnsi="Cambria Math"/>
              <w:color w:val="434343"/>
              <w:sz w:val="26"/>
              <w:szCs w:val="26"/>
            </w:rPr>
            <m:t>Índice de Satisfacción del Cliente=(</m:t>
          </m:r>
          <m:f>
            <m:fPr>
              <m:ctrlPr>
                <w:rPr>
                  <w:rFonts w:ascii="Cambria Math" w:hAnsi="Cambria Math"/>
                  <w:color w:val="434343"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color w:val="434343"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434343"/>
                      <w:sz w:val="26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434343"/>
                      <w:sz w:val="26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434343"/>
                      <w:sz w:val="26"/>
                      <w:szCs w:val="26"/>
                    </w:rPr>
                    <m:t>(Puntuaciones)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color w:val="434343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34343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34343"/>
                      <w:sz w:val="26"/>
                      <w:szCs w:val="26"/>
                    </w:rPr>
                    <m:t>Encuestados</m:t>
                  </m:r>
                </m:sub>
              </m:sSub>
            </m:den>
          </m:f>
          <m:r>
            <w:rPr>
              <w:rFonts w:ascii="Cambria Math" w:hAnsi="Cambria Math"/>
              <w:color w:val="434343"/>
              <w:sz w:val="26"/>
              <w:szCs w:val="26"/>
            </w:rPr>
            <m:t>×10)</m:t>
          </m:r>
        </m:oMath>
      </m:oMathPara>
    </w:p>
    <w:p w14:paraId="00000032" w14:textId="77777777" w:rsidR="00CF79BE" w:rsidRDefault="0074092C">
      <w:pPr>
        <w:numPr>
          <w:ilvl w:val="0"/>
          <w:numId w:val="3"/>
        </w:numPr>
        <w:spacing w:before="240" w:after="240"/>
        <w:rPr>
          <w:color w:val="434343"/>
        </w:rPr>
      </w:pPr>
      <w:r>
        <w:rPr>
          <w:color w:val="434343"/>
        </w:rPr>
        <w:t>Tiempo Promedio de Respuesta del Sistema: Este indicador es crucial para evaluar la eficiencia del sistema de gestión bancaria. Se refiere al tiempo que el sistema tarda en responder a las solicitudes de los usuarios, desde el momento en que se realiza la solicitud hasta que se recibe la respuesta.</w:t>
      </w:r>
    </w:p>
    <w:p w14:paraId="00000033" w14:textId="77777777" w:rsidR="00CF79BE" w:rsidRDefault="00755B2F">
      <w:pPr>
        <w:spacing w:before="240" w:after="240"/>
        <w:ind w:firstLine="425"/>
        <w:jc w:val="center"/>
        <w:rPr>
          <w:color w:val="434343"/>
        </w:rPr>
      </w:pPr>
      <m:oMathPara>
        <m:oMath>
          <m:sSub>
            <m:sSubPr>
              <m:ctrlPr>
                <w:rPr>
                  <w:rFonts w:ascii="Cambria Math" w:hAnsi="Cambria Math"/>
                  <w:color w:val="434343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434343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color w:val="434343"/>
                  <w:sz w:val="26"/>
                  <w:szCs w:val="26"/>
                </w:rPr>
                <m:t>promedio de respuesta del sistema</m:t>
              </m:r>
            </m:sub>
          </m:sSub>
          <m:r>
            <w:rPr>
              <w:rFonts w:ascii="Cambria Math" w:hAnsi="Cambria Math"/>
              <w:color w:val="434343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color w:val="434343"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34343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34343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434343"/>
                      <w:sz w:val="26"/>
                      <w:szCs w:val="26"/>
                    </w:rPr>
                    <m:t>total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434343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34343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34343"/>
                      <w:sz w:val="26"/>
                      <w:szCs w:val="26"/>
                    </w:rPr>
                    <m:t>transacciones</m:t>
                  </m:r>
                </m:sub>
              </m:sSub>
            </m:den>
          </m:f>
        </m:oMath>
      </m:oMathPara>
    </w:p>
    <w:p w14:paraId="00000034" w14:textId="77777777" w:rsidR="00CF79BE" w:rsidRDefault="00CF79BE">
      <w:pPr>
        <w:spacing w:before="240" w:after="240"/>
        <w:ind w:left="708"/>
        <w:rPr>
          <w:color w:val="434343"/>
          <w:sz w:val="6"/>
          <w:szCs w:val="6"/>
        </w:rPr>
      </w:pPr>
    </w:p>
    <w:p w14:paraId="00000035" w14:textId="77777777" w:rsidR="00CF79BE" w:rsidRDefault="0074092C">
      <w:pPr>
        <w:numPr>
          <w:ilvl w:val="0"/>
          <w:numId w:val="3"/>
        </w:numPr>
        <w:spacing w:before="240" w:after="240"/>
        <w:rPr>
          <w:color w:val="434343"/>
        </w:rPr>
      </w:pPr>
      <w:r>
        <w:rPr>
          <w:color w:val="434343"/>
        </w:rPr>
        <w:t>Tasa de Conversión de Préstamos: Este indicador es esencial para evaluar la efectividad del proceso de solicitud y aprobación de préstamos. Se refiere al porcentaje de solicitudes de préstamos que se convierten en préstamos aprobados y desembolsados en relación con el total de solicitudes recibidas.</w:t>
      </w:r>
    </w:p>
    <w:p w14:paraId="00000038" w14:textId="1A38AF89" w:rsidR="00CF79BE" w:rsidRPr="0074092C" w:rsidRDefault="0074092C" w:rsidP="0074092C">
      <w:pPr>
        <w:spacing w:before="240" w:after="240"/>
        <w:ind w:left="360"/>
        <w:jc w:val="center"/>
        <w:rPr>
          <w:color w:val="434343"/>
          <w:sz w:val="26"/>
          <w:szCs w:val="26"/>
        </w:rPr>
      </w:pPr>
      <m:oMathPara>
        <m:oMath>
          <m:r>
            <w:rPr>
              <w:rFonts w:ascii="Cambria Math" w:hAnsi="Cambria Math"/>
              <w:color w:val="434343"/>
              <w:sz w:val="26"/>
              <w:szCs w:val="26"/>
            </w:rPr>
            <m:t>Tasa de conversión de préstamos=(</m:t>
          </m:r>
          <m:f>
            <m:fPr>
              <m:ctrlPr>
                <w:rPr>
                  <w:rFonts w:ascii="Cambria Math" w:hAnsi="Cambria Math"/>
                  <w:color w:val="434343"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color w:val="434343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34343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34343"/>
                      <w:sz w:val="26"/>
                      <w:szCs w:val="26"/>
                    </w:rPr>
                    <m:t>préstamos aprobados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color w:val="434343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34343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34343"/>
                      <w:sz w:val="26"/>
                      <w:szCs w:val="26"/>
                    </w:rPr>
                    <m:t>solicitudes recibidas</m:t>
                  </m:r>
                </m:sub>
              </m:sSub>
            </m:den>
          </m:f>
          <m:r>
            <w:rPr>
              <w:rFonts w:ascii="Cambria Math" w:hAnsi="Cambria Math"/>
              <w:color w:val="434343"/>
              <w:sz w:val="26"/>
              <w:szCs w:val="26"/>
            </w:rPr>
            <m:t>×100)%</m:t>
          </m:r>
        </m:oMath>
      </m:oMathPara>
    </w:p>
    <w:sectPr w:rsidR="00CF79BE" w:rsidRPr="0074092C">
      <w:pgSz w:w="12240" w:h="15840"/>
      <w:pgMar w:top="1418" w:right="1418" w:bottom="1418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 ExtraBold">
    <w:altName w:val="Trebuchet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27D04"/>
    <w:multiLevelType w:val="multilevel"/>
    <w:tmpl w:val="B44E9A2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8E3FE4"/>
    <w:multiLevelType w:val="multilevel"/>
    <w:tmpl w:val="B90A6C0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F070AEE"/>
    <w:multiLevelType w:val="multilevel"/>
    <w:tmpl w:val="E5C8DD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A906433"/>
    <w:multiLevelType w:val="hybridMultilevel"/>
    <w:tmpl w:val="9C7A9D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096AFE"/>
    <w:multiLevelType w:val="multilevel"/>
    <w:tmpl w:val="E1E220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9BE"/>
    <w:rsid w:val="0074092C"/>
    <w:rsid w:val="00755B2F"/>
    <w:rsid w:val="00C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34819A"/>
  <w15:docId w15:val="{911A9AA2-7387-4584-BF22-4491CFA2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2A61"/>
    <w:pPr>
      <w:keepNext/>
      <w:keepLines/>
      <w:spacing w:before="240" w:after="120"/>
      <w:ind w:left="-284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2A61"/>
    <w:pPr>
      <w:keepNext/>
      <w:keepLines/>
      <w:spacing w:before="240" w:after="120"/>
      <w:ind w:left="-284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B2A61"/>
    <w:pPr>
      <w:spacing w:before="120" w:after="240" w:line="240" w:lineRule="auto"/>
      <w:ind w:left="-284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uiPriority w:val="10"/>
    <w:rsid w:val="00DB2A61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B2A61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B2A61"/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/gm4q82H57Zg5PUaIUkqBP0frA==">CgMxLjA4AHIhMXEwZXhnWG5pSUUxTUdkVU5RaURZSFVWd3JjVjJhTE1a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752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MS01</dc:creator>
  <cp:lastModifiedBy>Usuario de Windows</cp:lastModifiedBy>
  <cp:revision>3</cp:revision>
  <dcterms:created xsi:type="dcterms:W3CDTF">2019-09-06T20:58:00Z</dcterms:created>
  <dcterms:modified xsi:type="dcterms:W3CDTF">2024-04-29T17:06:00Z</dcterms:modified>
</cp:coreProperties>
</file>