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UNIDAD II · BUSINESS INTELLIGENCE  |  SEMANA 7</w:t>
      </w:r>
    </w:p>
    <w:p>
      <w:pPr>
        <w:pStyle w:val="Title"/>
      </w:pPr>
      <w:r>
        <w:t>Metadatos de la fuente de datos</w:t>
      </w:r>
    </w:p>
    <w:p>
      <w:pPr>
        <w:pStyle w:val="Subtitle"/>
      </w:pPr>
      <w:r>
        <w:t>Archivo: ventas.csv  •  Versión: 1.0  •  Fecha: octubre de 2026</w:t>
      </w:r>
    </w:p>
    <w:p>
      <w:pPr>
        <w:pStyle w:val="Heading1"/>
      </w:pPr>
      <w:r>
        <w:t>1. Propósito y contexto</w:t>
      </w:r>
    </w:p>
    <w:p>
      <w:r>
        <w:t>Este documento describe la estructura y las reglas conocidas de una fuente transaccional simulada de ventas de una empresa comercial peruana. Su finalidad es apoyar el análisis, diseño e implementación de un proceso ETL con Python hacia un Data Mart dimensional en SQL Server. Los datos son completamente sintéticos; no corresponden a personas, empresas ni operaciones reales.</w:t>
      </w:r>
    </w:p>
    <w:p>
      <w:pPr>
        <w:pStyle w:val="Heading1"/>
      </w:pPr>
      <w:r>
        <w:t>2. Características físicas del archivo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Nombre</w:t>
            </w:r>
          </w:p>
        </w:tc>
        <w:tc>
          <w:tcPr>
            <w:tcW w:type="dxa" w:w="4896"/>
          </w:tcPr>
          <w:p>
            <w:r>
              <w:t>ventas.csv</w:t>
            </w:r>
          </w:p>
        </w:tc>
      </w:tr>
      <w:tr>
        <w:tc>
          <w:tcPr>
            <w:tcW w:type="dxa" w:w="4896"/>
          </w:tcPr>
          <w:p>
            <w:r>
              <w:t>Formato</w:t>
            </w:r>
          </w:p>
        </w:tc>
        <w:tc>
          <w:tcPr>
            <w:tcW w:type="dxa" w:w="4896"/>
          </w:tcPr>
          <w:p>
            <w:r>
              <w:t>CSV delimitado por coma (,), con encabezado</w:t>
            </w:r>
          </w:p>
        </w:tc>
      </w:tr>
      <w:tr>
        <w:tc>
          <w:tcPr>
            <w:tcW w:type="dxa" w:w="4896"/>
          </w:tcPr>
          <w:p>
            <w:r>
              <w:t>Codificación</w:t>
            </w:r>
          </w:p>
        </w:tc>
        <w:tc>
          <w:tcPr>
            <w:tcW w:type="dxa" w:w="4896"/>
          </w:tcPr>
          <w:p>
            <w:r>
              <w:t>UTF-8 con BOM (utf-8-sig); se recomienda leer con encoding="utf-8-sig"</w:t>
            </w:r>
          </w:p>
        </w:tc>
      </w:tr>
      <w:tr>
        <w:tc>
          <w:tcPr>
            <w:tcW w:type="dxa" w:w="4896"/>
          </w:tcPr>
          <w:p>
            <w:r>
              <w:t>Filas de datos</w:t>
            </w:r>
          </w:p>
        </w:tc>
        <w:tc>
          <w:tcPr>
            <w:tcW w:type="dxa" w:w="4896"/>
          </w:tcPr>
          <w:p>
            <w:r>
              <w:t>500 (sin contar la cabecera)</w:t>
            </w:r>
          </w:p>
        </w:tc>
      </w:tr>
      <w:tr>
        <w:tc>
          <w:tcPr>
            <w:tcW w:type="dxa" w:w="4896"/>
          </w:tcPr>
          <w:p>
            <w:r>
              <w:t>Columnas</w:t>
            </w:r>
          </w:p>
        </w:tc>
        <w:tc>
          <w:tcPr>
            <w:tcW w:type="dxa" w:w="4896"/>
          </w:tcPr>
          <w:p>
            <w:r>
              <w:t>10</w:t>
            </w:r>
          </w:p>
        </w:tc>
      </w:tr>
      <w:tr>
        <w:tc>
          <w:tcPr>
            <w:tcW w:type="dxa" w:w="4896"/>
          </w:tcPr>
          <w:p>
            <w:r>
              <w:t>Periodo de referencia</w:t>
            </w:r>
          </w:p>
        </w:tc>
        <w:tc>
          <w:tcPr>
            <w:tcW w:type="dxa" w:w="4896"/>
          </w:tcPr>
          <w:p>
            <w:r>
              <w:t>Julio–septiembre de 2026 (periodo previsto; verificar fechas)</w:t>
            </w:r>
          </w:p>
        </w:tc>
      </w:tr>
      <w:tr>
        <w:tc>
          <w:tcPr>
            <w:tcW w:type="dxa" w:w="4896"/>
          </w:tcPr>
          <w:p>
            <w:r>
              <w:t>Unidad de análisis</w:t>
            </w:r>
          </w:p>
        </w:tc>
        <w:tc>
          <w:tcPr>
            <w:tcW w:type="dxa" w:w="4896"/>
          </w:tcPr>
          <w:p>
            <w:r>
              <w:t>Línea de venta: un registro representa una venta de un producto a un cliente</w:t>
            </w:r>
          </w:p>
        </w:tc>
      </w:tr>
      <w:tr>
        <w:tc>
          <w:tcPr>
            <w:tcW w:type="dxa" w:w="4896"/>
          </w:tcPr>
          <w:p>
            <w:r>
              <w:t>Separador decimal</w:t>
            </w:r>
          </w:p>
        </w:tc>
        <w:tc>
          <w:tcPr>
            <w:tcW w:type="dxa" w:w="4896"/>
          </w:tcPr>
          <w:p>
            <w:r>
              <w:t>. (punto) en valores numéricos válidos</w:t>
            </w:r>
          </w:p>
        </w:tc>
      </w:tr>
      <w:tr>
        <w:tc>
          <w:tcPr>
            <w:tcW w:type="dxa" w:w="4896"/>
          </w:tcPr>
          <w:p>
            <w:r>
              <w:t>Tratamiento de campos vacíos</w:t>
            </w:r>
          </w:p>
        </w:tc>
        <w:tc>
          <w:tcPr>
            <w:tcW w:type="dxa" w:w="4896"/>
          </w:tcPr>
          <w:p>
            <w:r>
              <w:t>Pueden aparecer vacíos o contener espacios; deben identificarse</w:t>
            </w:r>
          </w:p>
        </w:tc>
      </w:tr>
    </w:tbl>
    <w:p>
      <w:pPr>
        <w:pStyle w:val="Heading1"/>
      </w:pPr>
      <w:r>
        <w:t>3. Diccionario de datos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Campo</w:t>
            </w:r>
          </w:p>
        </w:tc>
        <w:tc>
          <w:tcPr>
            <w:tcW w:type="dxa" w:w="2448"/>
          </w:tcPr>
          <w:p>
            <w:r>
              <w:t>Tipo esperado</w:t>
            </w:r>
          </w:p>
        </w:tc>
        <w:tc>
          <w:tcPr>
            <w:tcW w:type="dxa" w:w="2448"/>
          </w:tcPr>
          <w:p>
            <w:r>
              <w:t>Descripción</w:t>
            </w:r>
          </w:p>
        </w:tc>
        <w:tc>
          <w:tcPr>
            <w:tcW w:type="dxa" w:w="2448"/>
          </w:tcPr>
          <w:p>
            <w:r>
              <w:t>Regla / ejemplo</w:t>
            </w:r>
          </w:p>
        </w:tc>
      </w:tr>
      <w:tr>
        <w:tc>
          <w:tcPr>
            <w:tcW w:type="dxa" w:w="2448"/>
          </w:tcPr>
          <w:p>
            <w:r>
              <w:t>IdVenta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Identificador de la línea de venta</w:t>
            </w:r>
          </w:p>
        </w:tc>
        <w:tc>
          <w:tcPr>
            <w:tcW w:type="dxa" w:w="2448"/>
          </w:tcPr>
          <w:p>
            <w:r>
              <w:t>Requerido; identificador único esperado; p. ej. V0001</w:t>
            </w:r>
          </w:p>
        </w:tc>
      </w:tr>
      <w:tr>
        <w:tc>
          <w:tcPr>
            <w:tcW w:type="dxa" w:w="2448"/>
          </w:tcPr>
          <w:p>
            <w:r>
              <w:t>Fecha</w:t>
            </w:r>
          </w:p>
        </w:tc>
        <w:tc>
          <w:tcPr>
            <w:tcW w:type="dxa" w:w="2448"/>
          </w:tcPr>
          <w:p>
            <w:r>
              <w:t>Fecha / texto en origen</w:t>
            </w:r>
          </w:p>
        </w:tc>
        <w:tc>
          <w:tcPr>
            <w:tcW w:type="dxa" w:w="2448"/>
          </w:tcPr>
          <w:p>
            <w:r>
              <w:t>Fecha en que se registra la venta</w:t>
            </w:r>
          </w:p>
        </w:tc>
        <w:tc>
          <w:tcPr>
            <w:tcW w:type="dxa" w:w="2448"/>
          </w:tcPr>
          <w:p>
            <w:r>
              <w:t>Formato esperado AAAA-MM-DD; p. ej. 2026-07-01</w:t>
            </w:r>
          </w:p>
        </w:tc>
      </w:tr>
      <w:tr>
        <w:tc>
          <w:tcPr>
            <w:tcW w:type="dxa" w:w="2448"/>
          </w:tcPr>
          <w:p>
            <w:r>
              <w:t>IdCliente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Identificador de cliente</w:t>
            </w:r>
          </w:p>
        </w:tc>
        <w:tc>
          <w:tcPr>
            <w:tcW w:type="dxa" w:w="2448"/>
          </w:tcPr>
          <w:p>
            <w:r>
              <w:t>Requerido; clave de negocio de cliente; p. ej. C001</w:t>
            </w:r>
          </w:p>
        </w:tc>
      </w:tr>
      <w:tr>
        <w:tc>
          <w:tcPr>
            <w:tcW w:type="dxa" w:w="2448"/>
          </w:tcPr>
          <w:p>
            <w:r>
              <w:t>Cliente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Nombre del cliente</w:t>
            </w:r>
          </w:p>
        </w:tc>
        <w:tc>
          <w:tcPr>
            <w:tcW w:type="dxa" w:w="2448"/>
          </w:tcPr>
          <w:p>
            <w:r>
              <w:t>Puede requerir normalización de espacios y escritura; p. ej. Ana Torres</w:t>
            </w:r>
          </w:p>
        </w:tc>
      </w:tr>
      <w:tr>
        <w:tc>
          <w:tcPr>
            <w:tcW w:type="dxa" w:w="2448"/>
          </w:tcPr>
          <w:p>
            <w:r>
              <w:t>Ciudad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Ciudad asociada al cliente</w:t>
            </w:r>
          </w:p>
        </w:tc>
        <w:tc>
          <w:tcPr>
            <w:tcW w:type="dxa" w:w="2448"/>
          </w:tcPr>
          <w:p>
            <w:r>
              <w:t>Categoría geográfica para análisis; p. ej. Lima</w:t>
            </w:r>
          </w:p>
        </w:tc>
      </w:tr>
      <w:tr>
        <w:tc>
          <w:tcPr>
            <w:tcW w:type="dxa" w:w="2448"/>
          </w:tcPr>
          <w:p>
            <w:r>
              <w:t>IdProducto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Identificador de producto</w:t>
            </w:r>
          </w:p>
        </w:tc>
        <w:tc>
          <w:tcPr>
            <w:tcW w:type="dxa" w:w="2448"/>
          </w:tcPr>
          <w:p>
            <w:r>
              <w:t>Requerido; clave de negocio de producto; p. ej. P001</w:t>
            </w:r>
          </w:p>
        </w:tc>
      </w:tr>
      <w:tr>
        <w:tc>
          <w:tcPr>
            <w:tcW w:type="dxa" w:w="2448"/>
          </w:tcPr>
          <w:p>
            <w:r>
              <w:t>Producto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Denominación del producto</w:t>
            </w:r>
          </w:p>
        </w:tc>
        <w:tc>
          <w:tcPr>
            <w:tcW w:type="dxa" w:w="2448"/>
          </w:tcPr>
          <w:p>
            <w:r>
              <w:t>Mantener coherencia con IdProducto; p. ej. Laptop Lenovo</w:t>
            </w:r>
          </w:p>
        </w:tc>
      </w:tr>
      <w:tr>
        <w:tc>
          <w:tcPr>
            <w:tcW w:type="dxa" w:w="2448"/>
          </w:tcPr>
          <w:p>
            <w:r>
              <w:t>Categoria</w:t>
            </w:r>
          </w:p>
        </w:tc>
        <w:tc>
          <w:tcPr>
            <w:tcW w:type="dxa" w:w="2448"/>
          </w:tcPr>
          <w:p>
            <w:r>
              <w:t>Texto</w:t>
            </w:r>
          </w:p>
        </w:tc>
        <w:tc>
          <w:tcPr>
            <w:tcW w:type="dxa" w:w="2448"/>
          </w:tcPr>
          <w:p>
            <w:r>
              <w:t>Categoría del producto</w:t>
            </w:r>
          </w:p>
        </w:tc>
        <w:tc>
          <w:tcPr>
            <w:tcW w:type="dxa" w:w="2448"/>
          </w:tcPr>
          <w:p>
            <w:r>
              <w:t>Normalizar espacios y variantes de mayúsculas; p. ej. Tecnología</w:t>
            </w:r>
          </w:p>
        </w:tc>
      </w:tr>
      <w:tr>
        <w:tc>
          <w:tcPr>
            <w:tcW w:type="dxa" w:w="2448"/>
          </w:tcPr>
          <w:p>
            <w:r>
              <w:t>Cantidad</w:t>
            </w:r>
          </w:p>
        </w:tc>
        <w:tc>
          <w:tcPr>
            <w:tcW w:type="dxa" w:w="2448"/>
          </w:tcPr>
          <w:p>
            <w:r>
              <w:t>Entero esperado</w:t>
            </w:r>
          </w:p>
        </w:tc>
        <w:tc>
          <w:tcPr>
            <w:tcW w:type="dxa" w:w="2448"/>
          </w:tcPr>
          <w:p>
            <w:r>
              <w:t>Unidades vendidas en la línea</w:t>
            </w:r>
          </w:p>
        </w:tc>
        <w:tc>
          <w:tcPr>
            <w:tcW w:type="dxa" w:w="2448"/>
          </w:tcPr>
          <w:p>
            <w:r>
              <w:t>Debe ser un entero positivo; p. ej. 2</w:t>
            </w:r>
          </w:p>
        </w:tc>
      </w:tr>
      <w:tr>
        <w:tc>
          <w:tcPr>
            <w:tcW w:type="dxa" w:w="2448"/>
          </w:tcPr>
          <w:p>
            <w:r>
              <w:t>PrecioUnitario</w:t>
            </w:r>
          </w:p>
        </w:tc>
        <w:tc>
          <w:tcPr>
            <w:tcW w:type="dxa" w:w="2448"/>
          </w:tcPr>
          <w:p>
            <w:r>
              <w:t>Decimal esperado</w:t>
            </w:r>
          </w:p>
        </w:tc>
        <w:tc>
          <w:tcPr>
            <w:tcW w:type="dxa" w:w="2448"/>
          </w:tcPr>
          <w:p>
            <w:r>
              <w:t>Precio por unidad, en soles (PEN)</w:t>
            </w:r>
          </w:p>
        </w:tc>
        <w:tc>
          <w:tcPr>
            <w:tcW w:type="dxa" w:w="2448"/>
          </w:tcPr>
          <w:p>
            <w:r>
              <w:t>Debe ser numérico y estrictamente positivo; p. ej. 2450.00</w:t>
            </w:r>
          </w:p>
        </w:tc>
      </w:tr>
    </w:tbl>
    <w:p>
      <w:pPr>
        <w:pStyle w:val="Heading1"/>
      </w:pPr>
      <w:r>
        <w:t>4. Reglas de negocio conocidas</w:t>
      </w:r>
    </w:p>
    <w:p>
      <w:pPr>
        <w:pStyle w:val="ListBullet"/>
      </w:pPr>
      <w:r>
        <w:t>Una línea de venta representa un solo producto asociado a un cliente y una fecha.</w:t>
      </w:r>
    </w:p>
    <w:p>
      <w:pPr>
        <w:pStyle w:val="ListBullet"/>
      </w:pPr>
      <w:r>
        <w:t>El importe bruto de la línea se calcula como Cantidad × PrecioUnitario; no hay descuentos ni impuestos desglosados en la fuente.</w:t>
      </w:r>
    </w:p>
    <w:p>
      <w:pPr>
        <w:pStyle w:val="ListBullet"/>
      </w:pPr>
      <w:r>
        <w:t>IdCliente e IdProducto funcionan como identificadores de negocio para construir dimensiones; el Data Mart puede usar claves sustitutas independientes.</w:t>
      </w:r>
    </w:p>
    <w:p>
      <w:pPr>
        <w:pStyle w:val="ListBullet"/>
      </w:pPr>
      <w:r>
        <w:t>Las ventas deben conservar trazabilidad respecto de su IdVenta de origen.</w:t>
      </w:r>
    </w:p>
    <w:p>
      <w:pPr>
        <w:pStyle w:val="ListBullet"/>
      </w:pPr>
      <w:r>
        <w:t>Los valores de fecha, cantidad y precio deben validarse antes de cargarse.</w:t>
      </w:r>
    </w:p>
    <w:p>
      <w:pPr>
        <w:pStyle w:val="ListBullet"/>
      </w:pPr>
      <w:r>
        <w:t>Las decisiones de corrección, exclusión o cuarentena deben registrarse y justificarse, sin inventar información que no se pueda corroborar.</w:t>
      </w:r>
    </w:p>
    <w:p>
      <w:pPr>
        <w:pStyle w:val="Heading1"/>
      </w:pPr>
      <w:r>
        <w:t>5. Consideraciones de calidad</w:t>
      </w:r>
    </w:p>
    <w:p>
      <w:r>
        <w:t>La fuente contiene inconsistencias introducidas intencionalmente para fines educativos. No se especifica aquí su número ni ubicación: su detección y clasificación forman parte del reto del estudiante. Algunas filas pueden necesitar normalización; otras requieren una decisión explícita de rechazo, cuarentena o tratamiento sustentado.</w:t>
      </w:r>
    </w:p>
    <w:p>
      <w:pPr>
        <w:pStyle w:val="Heading1"/>
      </w:pPr>
      <w:r>
        <w:t>6. Resultados que debe facilitar el destino dimensional</w:t>
      </w:r>
    </w:p>
    <w:p>
      <w:pPr>
        <w:pStyle w:val="ListBullet"/>
      </w:pPr>
      <w:r>
        <w:t>Ventas (importe bruto) por producto y categoría.</w:t>
      </w:r>
    </w:p>
    <w:p>
      <w:pPr>
        <w:pStyle w:val="ListBullet"/>
      </w:pPr>
      <w:r>
        <w:t>Ventas por cliente y ciudad.</w:t>
      </w:r>
    </w:p>
    <w:p>
      <w:pPr>
        <w:pStyle w:val="ListBullet"/>
      </w:pPr>
      <w:r>
        <w:t>Evolución de ventas por día, mes y año.</w:t>
      </w:r>
    </w:p>
    <w:p>
      <w:pPr>
        <w:pStyle w:val="ListBullet"/>
      </w:pPr>
      <w:r>
        <w:t>Conteo de líneas aceptadas y rechazadas, con conciliación documentada.</w:t>
      </w:r>
    </w:p>
    <w:p>
      <w:pPr>
        <w:pStyle w:val="Heading1"/>
      </w:pPr>
      <w:r>
        <w:t>7. Orientaciones para el análisis inicial</w:t>
      </w:r>
    </w:p>
    <w:p>
      <w:pPr>
        <w:pStyle w:val="ListNumber"/>
      </w:pPr>
      <w:r>
        <w:t>Comprobar número de filas y encabezados; revisar tipos realmente inferidos por pandas.</w:t>
      </w:r>
    </w:p>
    <w:p>
      <w:pPr>
        <w:pStyle w:val="ListNumber"/>
      </w:pPr>
      <w:r>
        <w:t>Evaluar unicidad de IdVenta y completitud de campos obligatorios.</w:t>
      </w:r>
    </w:p>
    <w:p>
      <w:pPr>
        <w:pStyle w:val="ListNumber"/>
      </w:pPr>
      <w:r>
        <w:t>Revisar formatos de fecha y valores no positivos o no numéricos.</w:t>
      </w:r>
    </w:p>
    <w:p>
      <w:pPr>
        <w:pStyle w:val="ListNumber"/>
      </w:pPr>
      <w:r>
        <w:t>Examinar posibles diferencias de escritura para una misma clave de negocio.</w:t>
      </w:r>
    </w:p>
    <w:p>
      <w:pPr>
        <w:pStyle w:val="ListNumber"/>
      </w:pPr>
      <w:r>
        <w:t>Proponer reglas de calidad y definir cómo documentar los registros no cargados.</w:t>
      </w:r>
    </w:p>
    <w:p>
      <w:pPr>
        <w:pStyle w:val="Heading1"/>
      </w:pPr>
      <w:r>
        <w:t>8. Alcance y limitaciones</w:t>
      </w:r>
    </w:p>
    <w:p>
      <w:r>
        <w:t>El conjunto es sintético y de tamaño reducido; permite probar principios básicos de ETL y modelado dimensional, pero no sirve para evaluar rendimiento de Big Data ni para formular conclusiones de mercado. No contiene historial de cambios de clientes/productos, impuestos, descuentos ni detalles de pagos. La definición física del Data Mart se entrega en una etapa posterior del laboratorio.</w:t>
      </w:r>
    </w:p>
    <w:p>
      <w:pPr>
        <w:pStyle w:val="Heading1"/>
      </w:pPr>
      <w:r>
        <w:t>9. Referencia curricular</w:t>
      </w:r>
    </w:p>
    <w:p>
      <w:r>
        <w:t>Sílabo del curso Base de Datos Avanzadas y Big Data, UPN 2026-2. Unidad II: Business Intelligence; semana 7: diseño de procesos ETL. Documento de trabajo elaborado para uso académico con datos sintéticos.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Material para el estudiante · Fuente de datos sintética · UPN 2026-2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BASE DE DATOS AVANZADAS Y BIG DATA  |  LABORATORIO ETL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3E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3E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B3E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