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>
      <w:bookmarkStart w:id="0" w:name="_GoBack"/>
      <w:bookmarkEnd w:id="0"/>
    </w:p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7"/>
      <w:r w:rsidRPr="00362D1A">
        <w:rPr>
          <w:sz w:val="28"/>
          <w:szCs w:val="28"/>
          <w:lang w:val="es-ES"/>
        </w:rPr>
        <w:t>Historial de Versiones</w:t>
      </w:r>
      <w:bookmarkEnd w:id="1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608D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E20AA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E20AA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3610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Eric Gustavo Coronel Castillo</cp:lastModifiedBy>
  <cp:revision>4</cp:revision>
  <dcterms:created xsi:type="dcterms:W3CDTF">2017-08-18T21:36:00Z</dcterms:created>
  <dcterms:modified xsi:type="dcterms:W3CDTF">2017-08-20T01:33:00Z</dcterms:modified>
</cp:coreProperties>
</file>