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pPr>
      <w:r>
        <w:rPr>
          <w:rFonts w:ascii="Arial" w:cs="Arial" w:eastAsia="Arial" w:hAnsi="Arial"/>
          <w:b/>
          <w:bCs/>
          <w:color w:val="1B3A5C"/>
          <w:sz w:val="48"/>
          <w:szCs w:val="48"/>
        </w:rPr>
        <w:t xml:space="preserve">Leading Indicators of North American</w:t>
      </w:r>
    </w:p>
    <w:p>
      <w:pPr>
        <w:spacing w:after="120"/>
      </w:pPr>
      <w:r>
        <w:rPr>
          <w:rFonts w:ascii="Arial" w:cs="Arial" w:eastAsia="Arial" w:hAnsi="Arial"/>
          <w:b/>
          <w:bCs/>
          <w:color w:val="1B3A5C"/>
          <w:sz w:val="48"/>
          <w:szCs w:val="48"/>
        </w:rPr>
        <w:t xml:space="preserve">Freight Rate Pressure</w:t>
      </w:r>
    </w:p>
    <w:p>
      <w:pPr>
        <w:spacing w:after="60"/>
      </w:pPr>
      <w:r>
        <w:rPr>
          <w:rFonts w:ascii="Arial" w:cs="Arial" w:eastAsia="Arial" w:hAnsi="Arial"/>
          <w:color w:val="666666"/>
          <w:sz w:val="28"/>
          <w:szCs w:val="28"/>
        </w:rPr>
        <w:t xml:space="preserve">Methodology &amp; Initial Findings</w:t>
      </w:r>
    </w:p>
    <w:p>
      <w:pPr>
        <w:pBdr>
          <w:bottom w:val="single" w:color="1B3A5C" w:sz="6" w:space="1"/>
        </w:pBdr>
        <w:spacing w:after="20"/>
      </w:pPr>
    </w:p>
    <w:p>
      <w:pPr>
        <w:spacing w:after="60" w:before="200"/>
      </w:pPr>
      <w:r>
        <w:rPr>
          <w:rFonts w:ascii="Arial" w:cs="Arial" w:eastAsia="Arial" w:hAnsi="Arial"/>
          <w:b/>
          <w:bCs/>
          <w:sz w:val="24"/>
          <w:szCs w:val="24"/>
        </w:rPr>
        <w:t xml:space="preserve">Grayson Parks</w:t>
      </w:r>
    </w:p>
    <w:p>
      <w:pPr>
        <w:spacing w:after="40"/>
      </w:pPr>
      <w:r>
        <w:rPr>
          <w:rFonts w:ascii="Arial" w:cs="Arial" w:eastAsia="Arial" w:hAnsi="Arial"/>
          <w:color w:val="666666"/>
          <w:sz w:val="22"/>
          <w:szCs w:val="22"/>
        </w:rPr>
        <w:t xml:space="preserve">Principal Strategic Advisor, Customer Analytics</w:t>
      </w:r>
    </w:p>
    <w:p>
      <w:pPr>
        <w:spacing w:after="400"/>
      </w:pPr>
      <w:r>
        <w:rPr>
          <w:rFonts w:ascii="Arial" w:cs="Arial" w:eastAsia="Arial" w:hAnsi="Arial"/>
          <w:color w:val="666666"/>
          <w:sz w:val="22"/>
          <w:szCs w:val="22"/>
        </w:rPr>
        <w:t xml:space="preserve">April 2026</w:t>
      </w:r>
    </w:p>
    <w:p>
      <w:pPr>
        <w:pStyle w:val="Heading1"/>
        <w:spacing w:after="180" w:before="360"/>
      </w:pPr>
      <w:r>
        <w:rPr>
          <w:rFonts w:ascii="Arial" w:cs="Arial" w:eastAsia="Arial" w:hAnsi="Arial"/>
          <w:b/>
          <w:bCs/>
          <w:color w:val="1B3A5C"/>
          <w:sz w:val="32"/>
          <w:szCs w:val="32"/>
        </w:rPr>
        <w:t xml:space="preserve">Overview</w:t>
      </w:r>
    </w:p>
    <w:p>
      <w:pPr>
        <w:spacing w:after="120" w:before="120"/>
      </w:pPr>
      <w:r>
        <w:rPr>
          <w:rFonts w:ascii="Arial" w:cs="Arial" w:eastAsia="Arial" w:hAnsi="Arial"/>
          <w:sz w:val="22"/>
          <w:szCs w:val="22"/>
        </w:rPr>
        <w:t xml:space="preserve">The core question this project asks is: can we predict where freight rates are headed by watching signals that most logistics analysts aren't tracking?</w:t>
      </w:r>
    </w:p>
    <w:p>
      <w:pPr>
        <w:spacing w:after="120" w:before="120"/>
      </w:pPr>
      <w:r>
        <w:rPr>
          <w:rFonts w:ascii="Arial" w:cs="Arial" w:eastAsia="Arial" w:hAnsi="Arial"/>
          <w:sz w:val="22"/>
          <w:szCs w:val="22"/>
        </w:rPr>
        <w:t xml:space="preserve">Freight rates don't move randomly. They respond to supply and demand forces that show up in other parts of the economy before they hit the trucking market. If consumers start spending more, that eventually means more goods need to move. If manufacturers are booking more orders, trucks will be busier soon. The challenge is proving that these relationships are real and not just coincidence—and measuring how far in advance they give you warning.</w:t>
      </w:r>
    </w:p>
    <w:p>
      <w:pPr>
        <w:pStyle w:val="Heading1"/>
        <w:spacing w:after="180" w:before="360"/>
      </w:pPr>
      <w:r>
        <w:rPr>
          <w:rFonts w:ascii="Arial" w:cs="Arial" w:eastAsia="Arial" w:hAnsi="Arial"/>
          <w:b/>
          <w:bCs/>
          <w:color w:val="1B3A5C"/>
          <w:sz w:val="32"/>
          <w:szCs w:val="32"/>
        </w:rPr>
        <w:t xml:space="preserve">Data Sources</w:t>
      </w:r>
    </w:p>
    <w:p>
      <w:pPr>
        <w:spacing w:after="120" w:before="120"/>
      </w:pPr>
      <w:r>
        <w:rPr>
          <w:rFonts w:ascii="Arial" w:cs="Arial" w:eastAsia="Arial" w:hAnsi="Arial"/>
          <w:sz w:val="22"/>
          <w:szCs w:val="22"/>
        </w:rPr>
        <w:t xml:space="preserve">We pull from 16 public data sources covering diesel fuel costs, manufacturing activity surveys from the Federal Reserve Banks of Philadelphia and Dallas, retail inventory levels, consumer spending and sentiment, freight volume indices, and trucking producer price indices. All sources are free, published by government agencies or industry-standard bodies, and updated weekly or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380"/>
        <w:gridCol w:w="23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EIA / FRED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Diesel prices (national + regional)</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Energy costs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Federal 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Refinery production index</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Energy supply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Philly Fed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Delivery times, future new orders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Manufacturing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Dallas Fed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Delivery times, new orders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Manufacturing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 Census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Durable goods orders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Manufacturing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 Census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Retail inventory/sales ratio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Demand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Personal consumption expenditures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Demand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 of Michigan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Consumer sentiment index</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Demand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Freight Transportation Services Index</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Freight volume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Trucking PPI (TL and LTL)</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Freight 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USDA NASS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Crop harvest progress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Seasonal demand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NOAA / NWS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Severe weather alerts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Real-time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Disruption</w:t>
            </w:r>
          </w:p>
        </w:tc>
      </w:tr>
    </w:tbl>
    <w:p>
      <w:pPr>
        <w:pStyle w:val="Heading1"/>
        <w:spacing w:after="180" w:before="360"/>
      </w:pPr>
      <w:r>
        <w:rPr>
          <w:rFonts w:ascii="Arial" w:cs="Arial" w:eastAsia="Arial" w:hAnsi="Arial"/>
          <w:b/>
          <w:bCs/>
          <w:color w:val="1B3A5C"/>
          <w:sz w:val="32"/>
          <w:szCs w:val="32"/>
        </w:rPr>
        <w:t xml:space="preserve">Methodology</w:t>
      </w:r>
    </w:p>
    <w:p>
      <w:pPr>
        <w:pStyle w:val="Heading2"/>
        <w:spacing w:after="180" w:before="240"/>
      </w:pPr>
      <w:r>
        <w:rPr>
          <w:rFonts w:ascii="Arial" w:cs="Arial" w:eastAsia="Arial" w:hAnsi="Arial"/>
          <w:b/>
          <w:bCs/>
          <w:color w:val="1B3A5C"/>
          <w:sz w:val="26"/>
          <w:szCs w:val="26"/>
        </w:rPr>
        <w:t xml:space="preserve">Seasonal Decomposition</w:t>
      </w:r>
    </w:p>
    <w:p>
      <w:pPr>
        <w:spacing w:after="120" w:before="120"/>
      </w:pPr>
      <w:r>
        <w:rPr>
          <w:rFonts w:ascii="Arial" w:cs="Arial" w:eastAsia="Arial" w:hAnsi="Arial"/>
          <w:sz w:val="22"/>
          <w:szCs w:val="22"/>
        </w:rPr>
        <w:t xml:space="preserve">Before looking for predictive relationships, we separate each data series into three components using STL (Seasonal and Trend decomposition using Loess): the long-term trend, the predictable seasonal pattern, and the residual—the unexpected part. This matters because we don't want to "discover" that trucking costs go up every holiday season. We already know that. We want to find signals that predict the unexpected movements.</w:t>
      </w:r>
    </w:p>
    <w:p>
      <w:pPr>
        <w:pStyle w:val="Heading2"/>
        <w:spacing w:after="180" w:before="240"/>
      </w:pPr>
      <w:r>
        <w:rPr>
          <w:rFonts w:ascii="Arial" w:cs="Arial" w:eastAsia="Arial" w:hAnsi="Arial"/>
          <w:b/>
          <w:bCs/>
          <w:color w:val="1B3A5C"/>
          <w:sz w:val="26"/>
          <w:szCs w:val="26"/>
        </w:rPr>
        <w:t xml:space="preserve">Cross-Correlation Analysis</w:t>
      </w:r>
    </w:p>
    <w:p>
      <w:pPr>
        <w:spacing w:after="120" w:before="120"/>
      </w:pPr>
      <w:r>
        <w:rPr>
          <w:rFonts w:ascii="Arial" w:cs="Arial" w:eastAsia="Arial" w:hAnsi="Arial"/>
          <w:sz w:val="22"/>
          <w:szCs w:val="22"/>
        </w:rPr>
        <w:t xml:space="preserve">For each pair of signals, we measure how strongly they move together at different time offsets. If consumer sentiment today correlates most strongly with trucking costs seven months from now, that tells us sentiment is a leading indicator with a seven-month horizon. We test offsets from zero to twelve months and identify the lag that produces the strongest relationship.</w:t>
      </w:r>
    </w:p>
    <w:p>
      <w:pPr>
        <w:pStyle w:val="Heading2"/>
        <w:spacing w:after="180" w:before="240"/>
      </w:pPr>
      <w:r>
        <w:rPr>
          <w:rFonts w:ascii="Arial" w:cs="Arial" w:eastAsia="Arial" w:hAnsi="Arial"/>
          <w:b/>
          <w:bCs/>
          <w:color w:val="1B3A5C"/>
          <w:sz w:val="26"/>
          <w:szCs w:val="26"/>
        </w:rPr>
        <w:t xml:space="preserve">Granger Causality Testing</w:t>
      </w:r>
    </w:p>
    <w:p>
      <w:pPr>
        <w:spacing w:after="120" w:before="120"/>
      </w:pPr>
      <w:r>
        <w:rPr>
          <w:rFonts w:ascii="Arial" w:cs="Arial" w:eastAsia="Arial" w:hAnsi="Arial"/>
          <w:sz w:val="22"/>
          <w:szCs w:val="22"/>
        </w:rPr>
        <w:t xml:space="preserve">This is the statistical rigor that separates this analysis from "two lines that look similar on a chart."</w:t>
      </w:r>
    </w:p>
    <w:p>
      <w:pPr>
        <w:spacing w:after="120" w:before="120"/>
      </w:pPr>
      <w:r>
        <w:rPr>
          <w:rFonts w:ascii="Arial" w:cs="Arial" w:eastAsia="Arial" w:hAnsi="Arial"/>
          <w:sz w:val="22"/>
          <w:szCs w:val="22"/>
        </w:rPr>
        <w:t xml:space="preserve">A signal is said to </w:t>
      </w:r>
      <w:r>
        <w:rPr>
          <w:rFonts w:ascii="Arial" w:cs="Arial" w:eastAsia="Arial" w:hAnsi="Arial"/>
          <w:b/>
          <w:bCs/>
          <w:sz w:val="22"/>
          <w:szCs w:val="22"/>
        </w:rPr>
        <w:t xml:space="preserve">Granger-cause</w:t>
      </w:r>
      <w:r>
        <w:rPr>
          <w:rFonts w:ascii="Arial" w:cs="Arial" w:eastAsia="Arial" w:hAnsi="Arial"/>
          <w:sz w:val="22"/>
          <w:szCs w:val="22"/>
        </w:rPr>
        <w:t xml:space="preserve"> another if knowing that signal's past values helps you predict the other better than its own history alone. In plain terms: trucking costs already have their own momentum and patterns. The Granger test asks whether adding information from, say, durable goods orders genuinely improves your ability to forecast trucking costs beyond what you could do by just looking at trucking costs themselves.</w:t>
      </w:r>
    </w:p>
    <w:p>
      <w:pPr>
        <w:spacing w:after="120" w:before="120"/>
      </w:pPr>
      <w:r>
        <w:rPr>
          <w:rFonts w:ascii="Arial" w:cs="Arial" w:eastAsia="Arial" w:hAnsi="Arial"/>
          <w:sz w:val="22"/>
          <w:szCs w:val="22"/>
        </w:rPr>
        <w:t xml:space="preserve">If the answer is yes with statistical confidence (p &lt; 0.05, meaning less than a 5% chance the result is due to random variation), we call that a significant leading indicator.</w:t>
      </w:r>
    </w:p>
    <w:p>
      <w:pPr>
        <w:pStyle w:val="Heading2"/>
        <w:spacing w:after="180" w:before="240"/>
      </w:pPr>
      <w:r>
        <w:rPr>
          <w:rFonts w:ascii="Arial" w:cs="Arial" w:eastAsia="Arial" w:hAnsi="Arial"/>
          <w:b/>
          <w:bCs/>
          <w:color w:val="1B3A5C"/>
          <w:sz w:val="26"/>
          <w:szCs w:val="26"/>
        </w:rPr>
        <w:t xml:space="preserve">Regime Detection</w:t>
      </w:r>
    </w:p>
    <w:p>
      <w:pPr>
        <w:spacing w:after="120" w:before="120"/>
      </w:pPr>
      <w:r>
        <w:rPr>
          <w:rFonts w:ascii="Arial" w:cs="Arial" w:eastAsia="Arial" w:hAnsi="Arial"/>
          <w:sz w:val="22"/>
          <w:szCs w:val="22"/>
        </w:rPr>
        <w:t xml:space="preserve">Freight markets tend to operate in two broad states: a loose market where capacity exceeds demand and rates are soft, and a tight market where capacity is scarce and rates rise. We use a Hidden Markov Model to identify which state the market is in at any given time and estimate the probability of transitioning between states. This component requires more historical data than currently available and is a planned next phase.</w:t>
      </w:r>
    </w:p>
    <w:p>
      <w:pPr>
        <w:pStyle w:val="Heading2"/>
        <w:spacing w:after="180" w:before="240"/>
      </w:pPr>
      <w:r>
        <w:rPr>
          <w:rFonts w:ascii="Arial" w:cs="Arial" w:eastAsia="Arial" w:hAnsi="Arial"/>
          <w:b/>
          <w:bCs/>
          <w:color w:val="1B3A5C"/>
          <w:sz w:val="26"/>
          <w:szCs w:val="26"/>
        </w:rPr>
        <w:t xml:space="preserve">Predictive Model</w:t>
      </w:r>
    </w:p>
    <w:p>
      <w:pPr>
        <w:spacing w:after="120" w:before="120"/>
      </w:pPr>
      <w:r>
        <w:rPr>
          <w:rFonts w:ascii="Arial" w:cs="Arial" w:eastAsia="Arial" w:hAnsi="Arial"/>
          <w:sz w:val="22"/>
          <w:szCs w:val="22"/>
        </w:rPr>
        <w:t xml:space="preserve">Once we've identified which signals genuinely lead freight rate changes and by how much, we combine them into a single ordinary least squares (OLS) regression model. We deliberately use OLS rather than a black-box machine learning approach because every coefficient has a clear interpretation: "a one-unit increase in this indicator is associated with an X% change in trucking costs Y months later." Transparency matters more than marginal accuracy when the goal is decision support.</w:t>
      </w:r>
    </w:p>
    <w:p>
      <w:r>
        <w:br w:type="page"/>
      </w:r>
    </w:p>
    <w:p>
      <w:pPr>
        <w:pStyle w:val="Heading1"/>
        <w:spacing w:after="180" w:before="360"/>
      </w:pPr>
      <w:r>
        <w:rPr>
          <w:rFonts w:ascii="Arial" w:cs="Arial" w:eastAsia="Arial" w:hAnsi="Arial"/>
          <w:b/>
          <w:bCs/>
          <w:color w:val="1B3A5C"/>
          <w:sz w:val="32"/>
          <w:szCs w:val="32"/>
        </w:rPr>
        <w:t xml:space="preserve">Initial Findings</w:t>
      </w:r>
    </w:p>
    <w:p>
      <w:pPr>
        <w:spacing w:after="120" w:before="120"/>
      </w:pPr>
      <w:r>
        <w:rPr>
          <w:rFonts w:ascii="Arial" w:cs="Arial" w:eastAsia="Arial" w:hAnsi="Arial"/>
          <w:sz w:val="22"/>
          <w:szCs w:val="22"/>
        </w:rPr>
        <w:t xml:space="preserve">Five independent signals Granger-cause truckload trucking costs at p &lt; 0.05, and a sixth signal leads overall freight volume:</w:t>
      </w:r>
    </w:p>
    <w:p>
      <w:pPr>
        <w:spacing w:after="60" w:before="160"/>
        <w:ind w:left="360"/>
      </w:pPr>
      <w:r>
        <w:rPr>
          <w:rFonts w:ascii="Arial" w:cs="Arial" w:eastAsia="Arial" w:hAnsi="Arial"/>
          <w:b/>
          <w:bCs/>
          <w:sz w:val="22"/>
          <w:szCs w:val="22"/>
        </w:rPr>
        <w:t xml:space="preserve">Personal Consumption Expenditures</w:t>
      </w:r>
      <w:r>
        <w:rPr>
          <w:rFonts w:ascii="Arial" w:cs="Arial" w:eastAsia="Arial" w:hAnsi="Arial"/>
          <w:sz w:val="22"/>
          <w:szCs w:val="22"/>
        </w:rPr>
        <w:t xml:space="preserve"> — leads by 8 months, p = 0.005</w:t>
      </w:r>
    </w:p>
    <w:p>
      <w:pPr>
        <w:spacing w:after="120" w:before="0"/>
        <w:ind w:left="360"/>
      </w:pPr>
      <w:r>
        <w:rPr>
          <w:rFonts w:ascii="Arial" w:cs="Arial" w:eastAsia="Arial" w:hAnsi="Arial"/>
          <w:i/>
          <w:iCs/>
          <w:color w:val="444444"/>
          <w:sz w:val="22"/>
          <w:szCs w:val="22"/>
        </w:rPr>
        <w:t xml:space="preserve">The strongest result. When consumers spend more, freight costs rise two quarters later as goods move through the supply chain.</w:t>
      </w:r>
    </w:p>
    <w:p>
      <w:pPr>
        <w:spacing w:after="60" w:before="160"/>
        <w:ind w:left="360"/>
      </w:pPr>
      <w:r>
        <w:rPr>
          <w:rFonts w:ascii="Arial" w:cs="Arial" w:eastAsia="Arial" w:hAnsi="Arial"/>
          <w:b/>
          <w:bCs/>
          <w:sz w:val="22"/>
          <w:szCs w:val="22"/>
        </w:rPr>
        <w:t xml:space="preserve">Retail Inventory-to-Sales Ratio</w:t>
      </w:r>
      <w:r>
        <w:rPr>
          <w:rFonts w:ascii="Arial" w:cs="Arial" w:eastAsia="Arial" w:hAnsi="Arial"/>
          <w:sz w:val="22"/>
          <w:szCs w:val="22"/>
        </w:rPr>
        <w:t xml:space="preserve"> — leads by 2 months, p = 0.020</w:t>
      </w:r>
    </w:p>
    <w:p>
      <w:pPr>
        <w:spacing w:after="120" w:before="0"/>
        <w:ind w:left="360"/>
      </w:pPr>
      <w:r>
        <w:rPr>
          <w:rFonts w:ascii="Arial" w:cs="Arial" w:eastAsia="Arial" w:hAnsi="Arial"/>
          <w:i/>
          <w:iCs/>
          <w:color w:val="444444"/>
          <w:sz w:val="22"/>
          <w:szCs w:val="22"/>
        </w:rPr>
        <w:t xml:space="preserve">When shelves empty faster than they're restocked, trucking demand spikes shortly after as retailers reorder. Strong negative correlation (r = –0.60).</w:t>
      </w:r>
    </w:p>
    <w:p>
      <w:pPr>
        <w:spacing w:after="60" w:before="160"/>
        <w:ind w:left="360"/>
      </w:pPr>
      <w:r>
        <w:rPr>
          <w:rFonts w:ascii="Arial" w:cs="Arial" w:eastAsia="Arial" w:hAnsi="Arial"/>
          <w:b/>
          <w:bCs/>
          <w:sz w:val="22"/>
          <w:szCs w:val="22"/>
        </w:rPr>
        <w:t xml:space="preserve">Durable Goods Manufacturing Orders</w:t>
      </w:r>
      <w:r>
        <w:rPr>
          <w:rFonts w:ascii="Arial" w:cs="Arial" w:eastAsia="Arial" w:hAnsi="Arial"/>
          <w:sz w:val="22"/>
          <w:szCs w:val="22"/>
        </w:rPr>
        <w:t xml:space="preserve"> — leads by 1 month, p = 0.020</w:t>
      </w:r>
    </w:p>
    <w:p>
      <w:pPr>
        <w:spacing w:after="120" w:before="0"/>
        <w:ind w:left="360"/>
      </w:pPr>
      <w:r>
        <w:rPr>
          <w:rFonts w:ascii="Arial" w:cs="Arial" w:eastAsia="Arial" w:hAnsi="Arial"/>
          <w:i/>
          <w:iCs/>
          <w:color w:val="444444"/>
          <w:sz w:val="22"/>
          <w:szCs w:val="22"/>
        </w:rPr>
        <w:t xml:space="preserve">Factory order books fill up, and freight follows. A direct demand-to-transport signal.</w:t>
      </w:r>
    </w:p>
    <w:p>
      <w:pPr>
        <w:spacing w:after="60" w:before="160"/>
        <w:ind w:left="360"/>
      </w:pPr>
      <w:r>
        <w:rPr>
          <w:rFonts w:ascii="Arial" w:cs="Arial" w:eastAsia="Arial" w:hAnsi="Arial"/>
          <w:b/>
          <w:bCs/>
          <w:sz w:val="22"/>
          <w:szCs w:val="22"/>
        </w:rPr>
        <w:t xml:space="preserve">Philadelphia Fed Delivery Times</w:t>
      </w:r>
      <w:r>
        <w:rPr>
          <w:rFonts w:ascii="Arial" w:cs="Arial" w:eastAsia="Arial" w:hAnsi="Arial"/>
          <w:sz w:val="22"/>
          <w:szCs w:val="22"/>
        </w:rPr>
        <w:t xml:space="preserve"> — leads by 1 month, p = 0.048</w:t>
      </w:r>
    </w:p>
    <w:p>
      <w:pPr>
        <w:spacing w:after="120" w:before="0"/>
        <w:ind w:left="360"/>
      </w:pPr>
      <w:r>
        <w:rPr>
          <w:rFonts w:ascii="Arial" w:cs="Arial" w:eastAsia="Arial" w:hAnsi="Arial"/>
          <w:i/>
          <w:iCs/>
          <w:color w:val="444444"/>
          <w:sz w:val="22"/>
          <w:szCs w:val="22"/>
        </w:rPr>
        <w:t xml:space="preserve">When manufacturers report longer delivery times, it signals supply chain congestion that soon hits trucking.</w:t>
      </w:r>
    </w:p>
    <w:p>
      <w:pPr>
        <w:spacing w:after="60" w:before="160"/>
        <w:ind w:left="360"/>
      </w:pPr>
      <w:r>
        <w:rPr>
          <w:rFonts w:ascii="Arial" w:cs="Arial" w:eastAsia="Arial" w:hAnsi="Arial"/>
          <w:b/>
          <w:bCs/>
          <w:sz w:val="22"/>
          <w:szCs w:val="22"/>
        </w:rPr>
        <w:t xml:space="preserve">Philadelphia Fed Future New Orders</w:t>
      </w:r>
      <w:r>
        <w:rPr>
          <w:rFonts w:ascii="Arial" w:cs="Arial" w:eastAsia="Arial" w:hAnsi="Arial"/>
          <w:sz w:val="22"/>
          <w:szCs w:val="22"/>
        </w:rPr>
        <w:t xml:space="preserve"> — leads by 2 months, p = 0.021</w:t>
      </w:r>
    </w:p>
    <w:p>
      <w:pPr>
        <w:spacing w:after="120" w:before="0"/>
        <w:ind w:left="360"/>
      </w:pPr>
      <w:r>
        <w:rPr>
          <w:rFonts w:ascii="Arial" w:cs="Arial" w:eastAsia="Arial" w:hAnsi="Arial"/>
          <w:i/>
          <w:iCs/>
          <w:color w:val="444444"/>
          <w:sz w:val="22"/>
          <w:szCs w:val="22"/>
        </w:rPr>
        <w:t xml:space="preserve">Forward-looking manufacturing sentiment predicts freight demand before the orders are even placed.</w:t>
      </w:r>
    </w:p>
    <w:p>
      <w:pPr>
        <w:spacing w:after="60" w:before="160"/>
        <w:ind w:left="360"/>
      </w:pPr>
      <w:r>
        <w:rPr>
          <w:rFonts w:ascii="Arial" w:cs="Arial" w:eastAsia="Arial" w:hAnsi="Arial"/>
          <w:b/>
          <w:bCs/>
          <w:sz w:val="22"/>
          <w:szCs w:val="22"/>
        </w:rPr>
        <w:t xml:space="preserve">Consumer Sentiment → Freight Volume (TSI)</w:t>
      </w:r>
      <w:r>
        <w:rPr>
          <w:rFonts w:ascii="Arial" w:cs="Arial" w:eastAsia="Arial" w:hAnsi="Arial"/>
          <w:sz w:val="22"/>
          <w:szCs w:val="22"/>
        </w:rPr>
        <w:t xml:space="preserve"> — leads by 3 months, p = 0.022</w:t>
      </w:r>
    </w:p>
    <w:p>
      <w:pPr>
        <w:spacing w:after="120" w:before="0"/>
        <w:ind w:left="360"/>
      </w:pPr>
      <w:r>
        <w:rPr>
          <w:rFonts w:ascii="Arial" w:cs="Arial" w:eastAsia="Arial" w:hAnsi="Arial"/>
          <w:i/>
          <w:iCs/>
          <w:color w:val="444444"/>
          <w:sz w:val="22"/>
          <w:szCs w:val="22"/>
        </w:rPr>
        <w:t xml:space="preserve">Household confidence is an early demand signal for the entire freight market. Sentiment drops, volumes follow.</w:t>
      </w:r>
    </w:p>
    <w:p>
      <w:pPr>
        <w:spacing w:before="240"/>
      </w:pPr>
    </w:p>
    <w:p>
      <w:pPr>
        <w:pStyle w:val="Heading2"/>
        <w:spacing w:after="180" w:before="240"/>
      </w:pPr>
      <w:r>
        <w:rPr>
          <w:rFonts w:ascii="Arial" w:cs="Arial" w:eastAsia="Arial" w:hAnsi="Arial"/>
          <w:b/>
          <w:bCs/>
          <w:color w:val="1B3A5C"/>
          <w:sz w:val="26"/>
          <w:szCs w:val="26"/>
        </w:rPr>
        <w:t xml:space="preserve">Cross-Correlation Summary</w:t>
      </w:r>
    </w:p>
    <w:p>
      <w:pPr>
        <w:spacing w:after="120" w:before="120"/>
      </w:pPr>
      <w:r>
        <w:rPr>
          <w:rFonts w:ascii="Arial" w:cs="Arial" w:eastAsia="Arial" w:hAnsi="Arial"/>
          <w:sz w:val="22"/>
          <w:szCs w:val="22"/>
        </w:rPr>
        <w:t xml:space="preserve">Strongest correlations between leading indicators and trucking costs (|r| &gt;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1480"/>
        <w:gridCol w:w="1480"/>
      </w:tblGrid>
      <w:tr>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Pair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Correlation</w:t>
            </w:r>
          </w:p>
        </w:tc>
        <w:tc>
          <w:tcPr>
            <w:tcW w:type="dxa" w:w="1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Optimal Lag</w:t>
            </w:r>
          </w:p>
        </w:tc>
        <w:tc>
          <w:tcPr>
            <w:tcW w:type="dxa" w:w="1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Consumer Sentiment → TL Trucking PPI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 = –0.600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 months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Inverse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Retail Inv/Sales → TL Trucking PPI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 = –0.597</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 months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Inverse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TL PPI → LTL PPI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 = –0.563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11 months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Inverse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Philly Fed New Orders → TL Trucking PPI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 = +0.512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 months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Direct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Durable Goods → TL Trucking PPI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 = +0.423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 months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Direct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Philly Fed Delivery Times → TL Trucking PPI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 = +0.421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9 months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Direct</w:t>
            </w:r>
          </w:p>
        </w:tc>
      </w:tr>
    </w:tbl>
    <w:p>
      <w:pPr>
        <w:pStyle w:val="Heading1"/>
        <w:spacing w:after="180" w:before="360"/>
      </w:pPr>
      <w:r>
        <w:rPr>
          <w:rFonts w:ascii="Arial" w:cs="Arial" w:eastAsia="Arial" w:hAnsi="Arial"/>
          <w:b/>
          <w:bCs/>
          <w:color w:val="1B3A5C"/>
          <w:sz w:val="32"/>
          <w:szCs w:val="32"/>
        </w:rPr>
        <w:t xml:space="preserve">Limitations &amp; Next Steps</w:t>
      </w:r>
    </w:p>
    <w:p>
      <w:pPr>
        <w:spacing w:after="120" w:before="120"/>
      </w:pPr>
      <w:r>
        <w:rPr>
          <w:rFonts w:ascii="Arial" w:cs="Arial" w:eastAsia="Arial" w:hAnsi="Arial"/>
          <w:sz w:val="22"/>
          <w:szCs w:val="22"/>
        </w:rPr>
        <w:t xml:space="preserve">The current dataset covers approximately three years of monthly observations (April 2023–March 2026). While the statistical results are significant, a longer historical window of five to ten years would strengthen confidence in these relationships and enable the regime detection and multivariate modeling components.</w:t>
      </w:r>
    </w:p>
    <w:p>
      <w:pPr>
        <w:spacing w:after="120" w:before="120"/>
      </w:pPr>
      <w:r>
        <w:rPr>
          <w:rFonts w:ascii="Arial" w:cs="Arial" w:eastAsia="Arial" w:hAnsi="Arial"/>
          <w:sz w:val="22"/>
          <w:szCs w:val="22"/>
        </w:rPr>
        <w:t xml:space="preserve">The short-lag Granger results should be interpreted with appropriate caution given sample size, though the consistency of findings across multiple independent signals supports their credibility.</w:t>
      </w:r>
    </w:p>
    <w:p>
      <w:pPr>
        <w:spacing w:after="120" w:before="120"/>
      </w:pPr>
      <w:r>
        <w:rPr>
          <w:rFonts w:ascii="Arial" w:cs="Arial" w:eastAsia="Arial" w:hAnsi="Arial"/>
          <w:sz w:val="22"/>
          <w:szCs w:val="22"/>
        </w:rPr>
        <w:t xml:space="preserve">Planned extensions include integrating Mississippi River gauge levels (barge-to-truck diversion signal), AAR weekly rail carload data (cross-modal capacity shifts), and BTS transborder freight flows (trade corridor structural trends). These would add three additional non-obvious signal categories to the analysis.</w:t>
      </w:r>
    </w:p>
    <w:p>
      <w:pPr>
        <w:pStyle w:val="Heading2"/>
        <w:spacing w:after="180" w:before="240"/>
      </w:pPr>
      <w:r>
        <w:rPr>
          <w:rFonts w:ascii="Arial" w:cs="Arial" w:eastAsia="Arial" w:hAnsi="Arial"/>
          <w:b/>
          <w:bCs/>
          <w:color w:val="1B3A5C"/>
          <w:sz w:val="26"/>
          <w:szCs w:val="26"/>
        </w:rPr>
        <w:t xml:space="preserve">Technical Implementation</w:t>
      </w:r>
    </w:p>
    <w:p>
      <w:pPr>
        <w:spacing w:after="120" w:before="120"/>
      </w:pPr>
      <w:r>
        <w:rPr>
          <w:rFonts w:ascii="Arial" w:cs="Arial" w:eastAsia="Arial" w:hAnsi="Arial"/>
          <w:sz w:val="22"/>
          <w:szCs w:val="22"/>
        </w:rPr>
        <w:t xml:space="preserve">The pipeline is built in </w:t>
      </w:r>
      <w:r>
        <w:rPr>
          <w:rFonts w:ascii="Arial" w:cs="Arial" w:eastAsia="Arial" w:hAnsi="Arial"/>
          <w:b/>
          <w:bCs/>
          <w:sz w:val="22"/>
          <w:szCs w:val="22"/>
        </w:rPr>
        <w:t xml:space="preserve">Python</w:t>
      </w:r>
      <w:r>
        <w:rPr>
          <w:rFonts w:ascii="Arial" w:cs="Arial" w:eastAsia="Arial" w:hAnsi="Arial"/>
          <w:sz w:val="22"/>
          <w:szCs w:val="22"/>
        </w:rPr>
        <w:t xml:space="preserve"> using pandas, statsmodels, scipy, and hmmlearn, with </w:t>
      </w:r>
      <w:r>
        <w:rPr>
          <w:rFonts w:ascii="Arial" w:cs="Arial" w:eastAsia="Arial" w:hAnsi="Arial"/>
          <w:b/>
          <w:bCs/>
          <w:sz w:val="22"/>
          <w:szCs w:val="22"/>
        </w:rPr>
        <w:t xml:space="preserve">DuckDB</w:t>
      </w:r>
      <w:r>
        <w:rPr>
          <w:rFonts w:ascii="Arial" w:cs="Arial" w:eastAsia="Arial" w:hAnsi="Arial"/>
          <w:sz w:val="22"/>
          <w:szCs w:val="22"/>
        </w:rPr>
        <w:t xml:space="preserve"> as the analytical data store. Data ingestion is modular (one script per source), and the full pipeline—ingest, analyze, render—is automated via </w:t>
      </w:r>
      <w:r>
        <w:rPr>
          <w:rFonts w:ascii="Arial" w:cs="Arial" w:eastAsia="Arial" w:hAnsi="Arial"/>
          <w:b/>
          <w:bCs/>
          <w:sz w:val="22"/>
          <w:szCs w:val="22"/>
        </w:rPr>
        <w:t xml:space="preserve">GitHub Actions</w:t>
      </w:r>
      <w:r>
        <w:rPr>
          <w:rFonts w:ascii="Arial" w:cs="Arial" w:eastAsia="Arial" w:hAnsi="Arial"/>
          <w:sz w:val="22"/>
          <w:szCs w:val="22"/>
        </w:rPr>
        <w:t xml:space="preserve"> on a weekly schedule. All data sources are free and publicly accessible.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Grayson Parks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Freight Leading Indicators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2026-04-07T00:52:34.729Z</dcterms:created>
  <dcterms:modified xsi:type="dcterms:W3CDTF">2026-04-07T00:52:34.730Z</dcterms:modified>
</cp:coreProperties>
</file>

<file path=docProps/custom.xml><?xml version="1.0" encoding="utf-8"?>
<Properties xmlns="http://schemas.openxmlformats.org/officeDocument/2006/custom-properties" xmlns:vt="http://schemas.openxmlformats.org/officeDocument/2006/docPropsVTypes"/>
</file>