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raft-master-minter-contract"/>
    <w:p>
      <w:pPr>
        <w:pStyle w:val="Heading1"/>
      </w:pPr>
      <w:r>
        <w:t xml:space="preserve">DRAFT: Master Minter contract</w:t>
      </w:r>
    </w:p>
    <w:p>
      <w:pPr>
        <w:pStyle w:val="FirstParagraph"/>
      </w:pPr>
      <w:r>
        <w:t xml:space="preserve">The Master Minter is a governance contract. It delegates the functionality of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in the TypeX NATGX contract to multiple addresses. (The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can add and remove minters from a NATGX Token and set their</w:t>
      </w:r>
      <w:r>
        <w:t xml:space="preserve"> </w:t>
      </w:r>
      <w:r>
        <w:t xml:space="preserve">allowances.) The Master Minter contract delegates the minter management</w:t>
      </w:r>
      <w:r>
        <w:t xml:space="preserve"> </w:t>
      </w:r>
      <w:r>
        <w:t xml:space="preserve">capability to</w:t>
      </w:r>
      <w:r>
        <w:t xml:space="preserve"> </w:t>
      </w:r>
      <w:r>
        <w:rPr>
          <w:rStyle w:val="VerbatimChar"/>
        </w:rPr>
        <w:t xml:space="preserve">controllers</w:t>
      </w:r>
      <w:r>
        <w:t xml:space="preserve">. Each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manages exactly one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, and</w:t>
      </w:r>
      <w:r>
        <w:t xml:space="preserve"> </w:t>
      </w:r>
      <w:r>
        <w:t xml:space="preserve">a single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may be managed by multiple</w:t>
      </w:r>
      <w:r>
        <w:t xml:space="preserve"> </w:t>
      </w:r>
      <w:r>
        <w:rPr>
          <w:rStyle w:val="VerbatimChar"/>
        </w:rPr>
        <w:t xml:space="preserve">controllers</w:t>
      </w:r>
      <w:r>
        <w:t xml:space="preserve">. This allows</w:t>
      </w:r>
      <w:r>
        <w:t xml:space="preserve"> </w:t>
      </w:r>
      <w:r>
        <w:t xml:space="preserve">separation of duties (off-line key management) and simplifies nonce management</w:t>
      </w:r>
      <w:r>
        <w:t xml:space="preserve"> </w:t>
      </w:r>
      <w:r>
        <w:t xml:space="preserve">for warm transactions.</w:t>
      </w:r>
    </w:p>
    <w:p>
      <w:pPr>
        <w:pStyle w:val="BodyText"/>
      </w:pPr>
      <w:r>
        <w:t xml:space="preserve">Minters and NATGX Token holders are not affected by replacing a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user address with a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contract.</w:t>
      </w:r>
    </w:p>
    <w:bookmarkEnd w:id="20"/>
    <w:bookmarkStart w:id="21" w:name="roles"/>
    <w:p>
      <w:pPr>
        <w:pStyle w:val="Heading1"/>
      </w:pPr>
      <w:r>
        <w:t xml:space="preserve">Roles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contract has the following roles: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owner</w:t>
      </w:r>
      <w:r>
        <w:t xml:space="preserve"> </w:t>
      </w:r>
      <w:r>
        <w:t xml:space="preserve">- adds and removes controllers, sets the address of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, and sets the owner.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minterManager</w:t>
      </w:r>
      <w:r>
        <w:t xml:space="preserve"> </w:t>
      </w:r>
      <w:r>
        <w:t xml:space="preserve">- address of a contract (e.g. NATGX) with a</w:t>
      </w:r>
      <w:r>
        <w:t xml:space="preserve"> </w:t>
      </w:r>
      <w:r>
        <w:rPr>
          <w:rStyle w:val="VerbatimChar"/>
        </w:rPr>
        <w:t xml:space="preserve">MinterManagementInterface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contract stores information</w:t>
      </w:r>
      <w:r>
        <w:t xml:space="preserve"> </w:t>
      </w:r>
      <w:r>
        <w:t xml:space="preserve">about minter allowances and which minters are enabled/disabled.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controller</w:t>
      </w:r>
      <w:r>
        <w:t xml:space="preserve"> </w:t>
      </w:r>
      <w:r>
        <w:t xml:space="preserve">- each controller manages exactly one minter. A controller can</w:t>
      </w:r>
      <w:r>
        <w:t xml:space="preserve"> </w:t>
      </w:r>
      <w:r>
        <w:t xml:space="preserve">enable/disable its minter, and modify the minting allowance by calling</w:t>
      </w:r>
      <w:r>
        <w:t xml:space="preserve"> </w:t>
      </w:r>
      <w:r>
        <w:t xml:space="preserve">functions on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contract, and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will call the</w:t>
      </w:r>
      <w:r>
        <w:t xml:space="preserve"> </w:t>
      </w:r>
      <w:r>
        <w:t xml:space="preserve">appropriate functions on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minter</w:t>
      </w:r>
      <w:r>
        <w:t xml:space="preserve"> </w:t>
      </w:r>
      <w:r>
        <w:t xml:space="preserve">- each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 managed by one or more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cannot perform any actions on the Master Minter contract. It interacts only</w:t>
      </w:r>
      <w:r>
        <w:t xml:space="preserve"> </w:t>
      </w:r>
      <w:r>
        <w:t xml:space="preserve">with the NATGX Token contract.</w:t>
      </w:r>
    </w:p>
    <w:bookmarkEnd w:id="21"/>
    <w:bookmarkStart w:id="22" w:name="interaction-with-natgx-token-contract"/>
    <w:p>
      <w:pPr>
        <w:pStyle w:val="Heading1"/>
      </w:pPr>
      <w:r>
        <w:t xml:space="preserve">Interaction with NATGX Token contract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of the NATGX Token contract can set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to point</w:t>
      </w:r>
      <w:r>
        <w:t xml:space="preserve"> </w:t>
      </w:r>
      <w:r>
        <w:t xml:space="preserve">to the address of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contract. This enables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contract to call minter management functions on the NATGX Token contract: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configureMinter(minter, allowance)</w:t>
      </w:r>
      <w:r>
        <w:t xml:space="preserve"> </w:t>
      </w:r>
      <w:r>
        <w:t xml:space="preserve">- Enables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and sets its</w:t>
      </w:r>
      <w:r>
        <w:t xml:space="preserve"> </w:t>
      </w:r>
      <w:r>
        <w:t xml:space="preserve">minting allowance.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removeMinter(minter)</w:t>
      </w:r>
      <w:r>
        <w:t xml:space="preserve"> </w:t>
      </w:r>
      <w:r>
        <w:t xml:space="preserve">- Disables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and sets its minting allowance</w:t>
      </w:r>
      <w:r>
        <w:t xml:space="preserve"> </w:t>
      </w:r>
      <w:r>
        <w:t xml:space="preserve">to 0.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isMinter(minter)</w:t>
      </w:r>
      <w:r>
        <w:t xml:space="preserve"> </w:t>
      </w:r>
      <w:r>
        <w:t xml:space="preserve">-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 enabled,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minterAllowance(minter)</w:t>
      </w:r>
      <w:r>
        <w:t xml:space="preserve"> </w:t>
      </w:r>
      <w:r>
        <w:t xml:space="preserve">- Returns the minting allowance of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.</w:t>
      </w:r>
    </w:p>
    <w:p>
      <w:pPr>
        <w:pStyle w:val="FirstParagraph"/>
      </w:pPr>
      <w:r>
        <w:t xml:space="preserve">Together, these four functions are defined as the</w:t>
      </w:r>
      <w:r>
        <w:t xml:space="preserve"> </w:t>
      </w:r>
      <w:r>
        <w:rPr>
          <w:rStyle w:val="VerbatimChar"/>
        </w:rPr>
        <w:t xml:space="preserve">MinterManagementInterface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contains the address of a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that implements the</w:t>
      </w:r>
      <w:r>
        <w:t xml:space="preserve"> </w:t>
      </w:r>
      <w:r>
        <w:rPr>
          <w:rStyle w:val="VerbatimChar"/>
        </w:rPr>
        <w:t xml:space="preserve">MinterManagementInterface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interacts with the NATGX token</w:t>
      </w:r>
      <w:r>
        <w:t xml:space="preserve"> </w:t>
      </w:r>
      <w:r>
        <w:t xml:space="preserve">via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.</w:t>
      </w:r>
    </w:p>
    <w:p>
      <w:pPr>
        <w:pStyle w:val="BodyText"/>
      </w:pPr>
      <w:r>
        <w:t xml:space="preserve">When a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calls a function on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will</w:t>
      </w:r>
      <w:r>
        <w:t xml:space="preserve"> </w:t>
      </w:r>
      <w:r>
        <w:t xml:space="preserve">call the appropriate function on the</w:t>
      </w:r>
      <w:r>
        <w:t xml:space="preserve"> </w:t>
      </w:r>
      <w:r>
        <w:rPr>
          <w:rStyle w:val="VerbatimChar"/>
        </w:rPr>
        <w:t xml:space="preserve">NATGX Token</w:t>
      </w:r>
      <w:r>
        <w:t xml:space="preserve"> </w:t>
      </w:r>
      <w:r>
        <w:t xml:space="preserve">contract on its behalf. Both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NATGX Token</w:t>
      </w:r>
      <w:r>
        <w:t xml:space="preserve"> </w:t>
      </w:r>
      <w:r>
        <w:t xml:space="preserve">do their own access control.</w:t>
      </w:r>
    </w:p>
    <w:bookmarkEnd w:id="22"/>
    <w:bookmarkStart w:id="23" w:name="function-summary"/>
    <w:p>
      <w:pPr>
        <w:pStyle w:val="Heading1"/>
      </w:pPr>
      <w:r>
        <w:t xml:space="preserve">Function Summary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configureController(controller, minter)</w:t>
      </w:r>
      <w:r>
        <w:t xml:space="preserve"> </w:t>
      </w:r>
      <w:r>
        <w:t xml:space="preserve">- The owner assigns the controller</w:t>
      </w:r>
      <w:r>
        <w:t xml:space="preserve"> </w:t>
      </w:r>
      <w:r>
        <w:t xml:space="preserve">to manage the minter. This allows 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to call</w:t>
      </w:r>
      <w:r>
        <w:t xml:space="preserve"> </w:t>
      </w:r>
      <w:r>
        <w:rPr>
          <w:rStyle w:val="VerbatimChar"/>
        </w:rPr>
        <w:t xml:space="preserve">configureMinter</w:t>
      </w:r>
      <w:r>
        <w:t xml:space="preserve">,</w:t>
      </w:r>
      <w:r>
        <w:t xml:space="preserve"> </w:t>
      </w:r>
      <w:r>
        <w:rPr>
          <w:rStyle w:val="VerbatimChar"/>
        </w:rPr>
        <w:t xml:space="preserve">incrementMinterAllowance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. Note:</w:t>
      </w:r>
      <w:r>
        <w:t xml:space="preserve"> </w:t>
      </w:r>
      <w:r>
        <w:rPr>
          <w:rStyle w:val="VerbatimChar"/>
        </w:rPr>
        <w:t xml:space="preserve">configureController(controller, 0x00)</w:t>
      </w:r>
      <w:r>
        <w:t xml:space="preserve"> </w:t>
      </w:r>
      <w:r>
        <w:t xml:space="preserve">is forbidden because it has the effect</w:t>
      </w:r>
      <w:r>
        <w:t xml:space="preserve"> </w:t>
      </w:r>
      <w:r>
        <w:t xml:space="preserve">of removing the controller.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removeController(controller)</w:t>
      </w:r>
      <w:r>
        <w:t xml:space="preserve"> </w:t>
      </w:r>
      <w:r>
        <w:t xml:space="preserve">- The owner disables the controller by setting</w:t>
      </w:r>
      <w:r>
        <w:t xml:space="preserve"> </w:t>
      </w:r>
      <w:r>
        <w:t xml:space="preserve">its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0x00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setMinterManager(minterManager)</w:t>
      </w:r>
      <w:r>
        <w:t xml:space="preserve"> </w:t>
      </w:r>
      <w:r>
        <w:t xml:space="preserve">- The owner sets a new contract to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address. This has no effect on the old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contract. If the new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does not implement the</w:t>
      </w:r>
      <w:r>
        <w:t xml:space="preserve"> </w:t>
      </w:r>
      <w:r>
        <w:rPr>
          <w:rStyle w:val="VerbatimChar"/>
        </w:rPr>
        <w:t xml:space="preserve">MinterManagementInterface</w:t>
      </w:r>
      <w:r>
        <w:t xml:space="preserve"> </w:t>
      </w:r>
      <w:r>
        <w:t xml:space="preserve">or does not give this instance of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contract permission to call minter management functions then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calls to</w:t>
      </w:r>
      <w:r>
        <w:t xml:space="preserve"> </w:t>
      </w:r>
      <w:r>
        <w:rPr>
          <w:rStyle w:val="VerbatimChar"/>
        </w:rPr>
        <w:t xml:space="preserve">configureMinter</w:t>
      </w:r>
      <w:r>
        <w:t xml:space="preserve">,</w:t>
      </w:r>
      <w:r>
        <w:t xml:space="preserve"> </w:t>
      </w:r>
      <w:r>
        <w:rPr>
          <w:rStyle w:val="VerbatimChar"/>
        </w:rPr>
        <w:t xml:space="preserve">incrementMinterAllowance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 </w:t>
      </w:r>
      <w:r>
        <w:t xml:space="preserve">will throw.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configureMinter(allowance)</w:t>
      </w:r>
      <w:r>
        <w:t xml:space="preserve"> </w:t>
      </w:r>
      <w:r>
        <w:t xml:space="preserve">- A controller enables its minter and sets its</w:t>
      </w:r>
      <w:r>
        <w:t xml:space="preserve"> </w:t>
      </w:r>
      <w:r>
        <w:t xml:space="preserve">allowance.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contract will call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contract</w:t>
      </w:r>
      <w:r>
        <w:t xml:space="preserve"> </w:t>
      </w:r>
      <w:r>
        <w:t xml:space="preserve">on 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’s behalf.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incrementMinterAllowance</w:t>
      </w:r>
      <w:r>
        <w:t xml:space="preserve"> </w:t>
      </w:r>
      <w:r>
        <w:t xml:space="preserve">- A controller increments the allowance of an</w:t>
      </w:r>
      <w:r>
        <w:t xml:space="preserve"> </w:t>
      </w:r>
      <w:r>
        <w:t xml:space="preserve">enabled</w:t>
      </w:r>
      <w:r>
        <w:t xml:space="preserve"> </w:t>
      </w:r>
      <w:r>
        <w:t xml:space="preserve">minter (</w:t>
      </w:r>
      <w:r>
        <w:rPr>
          <w:rStyle w:val="VerbatimChar"/>
        </w:rPr>
        <w:t xml:space="preserve">incrementMinterAllowance</w:t>
      </w:r>
      <w:r>
        <w:t xml:space="preserve"> </w:t>
      </w:r>
      <w:r>
        <w:t xml:space="preserve">will throw if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is disabled).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contract will call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contract on 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’s behalf.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removeMinter</w:t>
      </w:r>
      <w:r>
        <w:t xml:space="preserve"> </w:t>
      </w:r>
      <w:r>
        <w:t xml:space="preserve">- A controller disables a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contract</w:t>
      </w:r>
      <w:r>
        <w:t xml:space="preserve"> </w:t>
      </w:r>
      <w:r>
        <w:t xml:space="preserve">will call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contract on the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’s behalf.</w:t>
      </w:r>
    </w:p>
    <w:bookmarkEnd w:id="23"/>
    <w:bookmarkStart w:id="24" w:name="deployment"/>
    <w:p>
      <w:pPr>
        <w:pStyle w:val="Heading1"/>
      </w:pPr>
      <w:r>
        <w:t xml:space="preserve">Deployment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may be deployed independently of the</w:t>
      </w:r>
      <w:r>
        <w:t xml:space="preserve"> </w:t>
      </w:r>
      <w:r>
        <w:rPr>
          <w:rStyle w:val="VerbatimChar"/>
        </w:rPr>
        <w:t xml:space="preserve">NATGX Token</w:t>
      </w:r>
      <w:r>
        <w:t xml:space="preserve"> </w:t>
      </w:r>
      <w:r>
        <w:t xml:space="preserve">contract</w:t>
      </w:r>
      <w:r>
        <w:t xml:space="preserve"> </w:t>
      </w:r>
      <w:r>
        <w:t xml:space="preserve">(e.g. NATGX).</w:t>
      </w:r>
    </w:p>
    <w:p>
      <w:pPr>
        <w:numPr>
          <w:ilvl w:val="0"/>
          <w:numId w:val="1004"/>
        </w:numPr>
        <w:pStyle w:val="Compact"/>
      </w:pPr>
      <w:r>
        <w:t xml:space="preserve">NATGX Token</w:t>
      </w:r>
      <w:r>
        <w:t xml:space="preserve"> </w:t>
      </w:r>
      <w:r>
        <w:t xml:space="preserve">then</w:t>
      </w:r>
      <w:r>
        <w:t xml:space="preserve"> </w:t>
      </w:r>
      <w:r>
        <w:t xml:space="preserve">Master Minter.</w:t>
      </w:r>
      <w:r>
        <w:t xml:space="preserve"> </w:t>
      </w:r>
      <w:r>
        <w:t xml:space="preserve">Deploy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and set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to point to the</w:t>
      </w:r>
      <w:r>
        <w:t xml:space="preserve"> </w:t>
      </w:r>
      <w:r>
        <w:rPr>
          <w:rStyle w:val="VerbatimChar"/>
        </w:rPr>
        <w:t xml:space="preserve">NATGX Token</w:t>
      </w:r>
      <w:r>
        <w:t xml:space="preserve"> </w:t>
      </w:r>
      <w:r>
        <w:t xml:space="preserve">in the constructor. Then use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 to configure at least one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for each</w:t>
      </w:r>
      <w:r>
        <w:t xml:space="preserve"> </w:t>
      </w:r>
      <w:r>
        <w:t xml:space="preserve">existing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NATGX Token</w:t>
      </w:r>
      <w:r>
        <w:t xml:space="preserve">. Once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is fully</w:t>
      </w:r>
      <w:r>
        <w:t xml:space="preserve"> </w:t>
      </w:r>
      <w:r>
        <w:t xml:space="preserve">configured, use the</w:t>
      </w:r>
      <w:r>
        <w:t xml:space="preserve"> </w:t>
      </w:r>
      <w:r>
        <w:rPr>
          <w:rStyle w:val="VerbatimChar"/>
        </w:rPr>
        <w:t xml:space="preserve">NATGX Token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role to broadcast an</w:t>
      </w:r>
      <w:r>
        <w:t xml:space="preserve"> </w:t>
      </w:r>
      <w:r>
        <w:rPr>
          <w:rStyle w:val="VerbatimChar"/>
        </w:rPr>
        <w:t xml:space="preserve">updateMaster Minter</w:t>
      </w:r>
      <w:r>
        <w:t xml:space="preserve"> </w:t>
      </w:r>
      <w:r>
        <w:t xml:space="preserve">transaction setting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role to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contract address.</w:t>
      </w:r>
    </w:p>
    <w:p>
      <w:pPr>
        <w:numPr>
          <w:ilvl w:val="0"/>
          <w:numId w:val="1004"/>
        </w:numPr>
        <w:pStyle w:val="Compact"/>
      </w:pPr>
      <w:r>
        <w:t xml:space="preserve">Master Minter</w:t>
      </w:r>
      <w:r>
        <w:t xml:space="preserve"> </w:t>
      </w:r>
      <w:r>
        <w:t xml:space="preserve">then</w:t>
      </w:r>
      <w:r>
        <w:t xml:space="preserve"> </w:t>
      </w:r>
      <w:r>
        <w:t xml:space="preserve">NATGX Token.</w:t>
      </w:r>
      <w:r>
        <w:t xml:space="preserve"> </w:t>
      </w:r>
      <w:r>
        <w:t xml:space="preserve">Deploy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and set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to point to address</w:t>
      </w:r>
      <w:r>
        <w:t xml:space="preserve"> </w:t>
      </w:r>
      <w:r>
        <w:rPr>
          <w:rStyle w:val="VerbatimChar"/>
        </w:rPr>
        <w:t xml:space="preserve">0x00</w:t>
      </w:r>
      <w:r>
        <w:t xml:space="preserve"> </w:t>
      </w:r>
      <w:r>
        <w:t xml:space="preserve">in the constructor. Then deploy the</w:t>
      </w:r>
      <w:r>
        <w:t xml:space="preserve"> </w:t>
      </w:r>
      <w:r>
        <w:rPr>
          <w:rStyle w:val="VerbatimChar"/>
        </w:rPr>
        <w:t xml:space="preserve">NATGX Token</w:t>
      </w:r>
      <w:r>
        <w:t xml:space="preserve"> </w:t>
      </w:r>
      <w:r>
        <w:t xml:space="preserve">and set the</w:t>
      </w:r>
      <w:r>
        <w:t xml:space="preserve"> </w:t>
      </w:r>
      <w:r>
        <w:rPr>
          <w:rStyle w:val="VerbatimChar"/>
        </w:rPr>
        <w:t xml:space="preserve">masterMinter</w:t>
      </w:r>
      <w:r>
        <w:t xml:space="preserve"> </w:t>
      </w:r>
      <w:r>
        <w:t xml:space="preserve">to be the address of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contract in the constructor. Next, use the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to set the</w:t>
      </w:r>
      <w:r>
        <w:t xml:space="preserve"> </w:t>
      </w:r>
      <w:r>
        <w:rPr>
          <w:rStyle w:val="VerbatimChar"/>
        </w:rPr>
        <w:t xml:space="preserve">minterManager</w:t>
      </w:r>
      <w:r>
        <w:t xml:space="preserve"> </w:t>
      </w:r>
      <w:r>
        <w:t xml:space="preserve">and configure</w:t>
      </w:r>
      <w:r>
        <w:t xml:space="preserve"> </w:t>
      </w:r>
      <w:r>
        <w:rPr>
          <w:rStyle w:val="VerbatimChar"/>
        </w:rPr>
        <w:t xml:space="preserve">controllers</w:t>
      </w:r>
      <w:r>
        <w:t xml:space="preserve">.</w:t>
      </w:r>
    </w:p>
    <w:bookmarkEnd w:id="24"/>
    <w:bookmarkStart w:id="25" w:name="configuring-the-master-minter"/>
    <w:p>
      <w:pPr>
        <w:pStyle w:val="Heading1"/>
      </w:pPr>
      <w:r>
        <w:t xml:space="preserve">Configuring the Master Minter</w:t>
      </w:r>
    </w:p>
    <w:p>
      <w:pPr>
        <w:pStyle w:val="FirstParagraph"/>
      </w:pPr>
      <w:r>
        <w:t xml:space="preserve">We recommend assigning at least</w:t>
      </w:r>
      <w:r>
        <w:t xml:space="preserve"> </w:t>
      </w:r>
      <w:r>
        <w:t xml:space="preserve">two</w:t>
      </w:r>
      <w:r>
        <w:t xml:space="preserve"> </w:t>
      </w:r>
      <w:r>
        <w:rPr>
          <w:rStyle w:val="VerbatimChar"/>
        </w:rPr>
        <w:t xml:space="preserve">controllers</w:t>
      </w:r>
      <w:r>
        <w:t xml:space="preserve"> </w:t>
      </w:r>
      <w:r>
        <w:t xml:space="preserve">to each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AllowanceController.</w:t>
      </w:r>
      <w:r>
        <w:t xml:space="preserve"> </w:t>
      </w:r>
      <w:r>
        <w:t xml:space="preserve">Use this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to enable the</w:t>
      </w:r>
      <w:r>
        <w:t xml:space="preserve"> </w:t>
      </w:r>
      <w:r>
        <w:rPr>
          <w:rStyle w:val="VerbatimChar"/>
        </w:rPr>
        <w:t xml:space="preserve">minter</w:t>
      </w:r>
      <w:r>
        <w:t xml:space="preserve"> </w:t>
      </w:r>
      <w:r>
        <w:t xml:space="preserve">with</w:t>
      </w:r>
      <w:r>
        <w:t xml:space="preserve"> </w:t>
      </w:r>
      <w:r>
        <w:t xml:space="preserve">a single</w:t>
      </w:r>
      <w:r>
        <w:t xml:space="preserve"> </w:t>
      </w:r>
      <w:r>
        <w:rPr>
          <w:rStyle w:val="VerbatimChar"/>
        </w:rPr>
        <w:t xml:space="preserve">configureMinter</w:t>
      </w:r>
      <w:r>
        <w:t xml:space="preserve"> </w:t>
      </w:r>
      <w:r>
        <w:t xml:space="preserve">transaction, and then use it exclusively to sign</w:t>
      </w:r>
      <w:r>
        <w:t xml:space="preserve"> </w:t>
      </w:r>
      <w:r>
        <w:rPr>
          <w:rStyle w:val="VerbatimChar"/>
        </w:rPr>
        <w:t xml:space="preserve">incrementMinterAllowance</w:t>
      </w:r>
      <w:r>
        <w:t xml:space="preserve"> </w:t>
      </w:r>
      <w:r>
        <w:t xml:space="preserve">transactions. There may be multiple</w:t>
      </w:r>
      <w:r>
        <w:t xml:space="preserve"> </w:t>
      </w:r>
      <w:r>
        <w:rPr>
          <w:rStyle w:val="VerbatimChar"/>
        </w:rPr>
        <w:t xml:space="preserve">AllowanceControllers</w:t>
      </w:r>
      <w:r>
        <w:t xml:space="preserve"> </w:t>
      </w:r>
      <w:r>
        <w:t xml:space="preserve">that sign different size allowance increment</w:t>
      </w:r>
      <w:r>
        <w:t xml:space="preserve"> </w:t>
      </w:r>
      <w:r>
        <w:t xml:space="preserve">transactions.</w:t>
      </w:r>
    </w:p>
    <w:p>
      <w:pPr>
        <w:numPr>
          <w:ilvl w:val="0"/>
          <w:numId w:val="1005"/>
        </w:numPr>
        <w:pStyle w:val="Compact"/>
      </w:pPr>
      <w:r>
        <w:t xml:space="preserve">SecurityController.</w:t>
      </w:r>
      <w:r>
        <w:t xml:space="preserve"> </w:t>
      </w:r>
      <w:r>
        <w:t xml:space="preserve">Use this</w:t>
      </w:r>
      <w:r>
        <w:t xml:space="preserve"> </w:t>
      </w:r>
      <w:r>
        <w:rPr>
          <w:rStyle w:val="VerbatimChar"/>
        </w:rPr>
        <w:t xml:space="preserve">controller</w:t>
      </w:r>
      <w:r>
        <w:t xml:space="preserve"> </w:t>
      </w:r>
      <w:r>
        <w:t xml:space="preserve">to sign a single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 </w:t>
      </w:r>
      <w:r>
        <w:t xml:space="preserve">transaction and store it for emergencies.</w:t>
      </w:r>
    </w:p>
    <w:p>
      <w:pPr>
        <w:pStyle w:val="FirstParagraph"/>
      </w:pPr>
      <w:r>
        <w:t xml:space="preserve">The private keys to the</w:t>
      </w:r>
      <w:r>
        <w:t xml:space="preserve"> </w:t>
      </w:r>
      <w:r>
        <w:rPr>
          <w:rStyle w:val="VerbatimChar"/>
        </w:rPr>
        <w:t xml:space="preserve">AllowanceController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SecurityController</w:t>
      </w:r>
      <w:r>
        <w:t xml:space="preserve"> </w:t>
      </w:r>
      <w:r>
        <w:t xml:space="preserve">should</w:t>
      </w:r>
      <w:r>
        <w:t xml:space="preserve"> </w:t>
      </w:r>
      <w:r>
        <w:t xml:space="preserve">stay in cold storage. This configuration lets the Controller keep multiple warm</w:t>
      </w:r>
      <w:r>
        <w:t xml:space="preserve"> </w:t>
      </w:r>
      <w:r>
        <w:rPr>
          <w:rStyle w:val="VerbatimChar"/>
        </w:rPr>
        <w:t xml:space="preserve">incrementMinterAllowance</w:t>
      </w:r>
      <w:r>
        <w:t xml:space="preserve"> </w:t>
      </w:r>
      <w:r>
        <w:t xml:space="preserve">transactions on hand, as well as the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 </w:t>
      </w:r>
      <w:r>
        <w:t xml:space="preserve">transaction in case of a problem. Broadcasting the</w:t>
      </w:r>
      <w:r>
        <w:t xml:space="preserve"> </w:t>
      </w:r>
      <w:r>
        <w:rPr>
          <w:rStyle w:val="VerbatimChar"/>
        </w:rPr>
        <w:t xml:space="preserve">removeMinter</w:t>
      </w:r>
      <w:r>
        <w:t xml:space="preserve"> </w:t>
      </w:r>
      <w:r>
        <w:t xml:space="preserve">transaction</w:t>
      </w:r>
      <w:r>
        <w:t xml:space="preserve"> </w:t>
      </w:r>
      <w:r>
        <w:t xml:space="preserve">will cause all future</w:t>
      </w:r>
      <w:r>
        <w:t xml:space="preserve"> </w:t>
      </w:r>
      <w:r>
        <w:rPr>
          <w:rStyle w:val="VerbatimChar"/>
        </w:rPr>
        <w:t xml:space="preserve">incrementMinterAllowance</w:t>
      </w:r>
      <w:r>
        <w:t xml:space="preserve"> </w:t>
      </w:r>
      <w:r>
        <w:t xml:space="preserve">transactions to</w:t>
      </w:r>
      <w:r>
        <w:t xml:space="preserve"> </w:t>
      </w:r>
      <w:r>
        <w:rPr>
          <w:rStyle w:val="VerbatimChar"/>
        </w:rPr>
        <w:t xml:space="preserve">throw</w:t>
      </w:r>
      <w:r>
        <w:t xml:space="preserve">. Since</w:t>
      </w:r>
      <w:r>
        <w:t xml:space="preserve"> </w:t>
      </w:r>
      <w:r>
        <w:t xml:space="preserve">the two types of transactions are managed by different addresses, there is no</w:t>
      </w:r>
      <w:r>
        <w:t xml:space="preserve"> </w:t>
      </w:r>
      <w:r>
        <w:t xml:space="preserve">need to worry about nonce management.</w:t>
      </w:r>
    </w:p>
    <w:bookmarkEnd w:id="25"/>
    <w:bookmarkStart w:id="26" w:name="master-minter-vs.-mintcontroller"/>
    <w:p>
      <w:pPr>
        <w:pStyle w:val="Heading1"/>
      </w:pPr>
      <w:r>
        <w:t xml:space="preserve">Master Minter vs. MintController</w:t>
      </w:r>
    </w:p>
    <w:p>
      <w:pPr>
        <w:pStyle w:val="FirstParagraph"/>
      </w:pPr>
      <w:r>
        <w:t xml:space="preserve">Creating a</w:t>
      </w:r>
      <w:r>
        <w:t xml:space="preserve"> </w:t>
      </w:r>
      <w:r>
        <w:rPr>
          <w:rStyle w:val="VerbatimChar"/>
        </w:rPr>
        <w:t xml:space="preserve">Master Minter</w:t>
      </w:r>
      <w:r>
        <w:t xml:space="preserve"> </w:t>
      </w:r>
      <w:r>
        <w:t xml:space="preserve">contract that</w:t>
      </w:r>
      <w:r>
        <w:t xml:space="preserve"> </w:t>
      </w:r>
      <w:r>
        <w:rPr>
          <w:iCs/>
          <w:i/>
        </w:rPr>
        <w:t xml:space="preserve">inherits</w:t>
      </w:r>
      <w:r>
        <w:t xml:space="preserve"> </w:t>
      </w:r>
      <w:r>
        <w:t xml:space="preserve">from a</w:t>
      </w:r>
      <w:r>
        <w:t xml:space="preserve"> </w:t>
      </w:r>
      <w:r>
        <w:rPr>
          <w:rStyle w:val="VerbatimChar"/>
        </w:rPr>
        <w:t xml:space="preserve">MintController</w:t>
      </w:r>
      <w:r>
        <w:t xml:space="preserve"> </w:t>
      </w:r>
      <w:r>
        <w:t xml:space="preserve">contract with no changes may seem like a curious design choice. This leaves open</w:t>
      </w:r>
      <w:r>
        <w:t xml:space="preserve"> </w:t>
      </w:r>
      <w:r>
        <w:t xml:space="preserve">the possibility of creating other contracts that inherit from</w:t>
      </w:r>
      <w:r>
        <w:t xml:space="preserve"> </w:t>
      </w:r>
      <w:r>
        <w:rPr>
          <w:rStyle w:val="VerbatimChar"/>
        </w:rPr>
        <w:t xml:space="preserve">MintController</w:t>
      </w:r>
      <w:r>
        <w:t xml:space="preserve"> </w:t>
      </w:r>
      <w:r>
        <w:t xml:space="preserve">without creating naming confusion due to their different functionality.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2021-11-30T23:47:44Z</dcterms:created>
  <dcterms:modified xsi:type="dcterms:W3CDTF">2021-11-30T23:47:44Z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