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typex-natgx-token"/>
    <w:p>
      <w:pPr>
        <w:pStyle w:val="Heading1"/>
      </w:pPr>
      <w:r>
        <w:t xml:space="preserve">TypeX NATGX Token</w:t>
      </w:r>
    </w:p>
    <w:p>
      <w:pPr>
        <w:pStyle w:val="FirstParagraph"/>
      </w:pPr>
      <w:r>
        <w:t xml:space="preserve">The TypeX NATGX Token contract is an ERC-20 compatible token. It allows</w:t>
      </w:r>
      <w:r>
        <w:t xml:space="preserve"> </w:t>
      </w:r>
      <w:r>
        <w:t xml:space="preserve">minting/burning of tokens by multiple entities, pausing all activity, freezing</w:t>
      </w:r>
      <w:r>
        <w:t xml:space="preserve"> </w:t>
      </w:r>
      <w:r>
        <w:t xml:space="preserve">of individual addresses, and a way to upgrade the contract so that bugs can be</w:t>
      </w:r>
      <w:r>
        <w:t xml:space="preserve"> </w:t>
      </w:r>
      <w:r>
        <w:t xml:space="preserve">fixed or features added.</w:t>
      </w:r>
    </w:p>
    <w:bookmarkStart w:id="20" w:name="roles"/>
    <w:p>
      <w:pPr>
        <w:pStyle w:val="Heading2"/>
      </w:pPr>
      <w:r>
        <w:t xml:space="preserve">Roles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NATGXToken</w:t>
      </w:r>
      <w:r>
        <w:t xml:space="preserve"> </w:t>
      </w:r>
      <w:r>
        <w:t xml:space="preserve">has a number of roles (addresses) which control different</w:t>
      </w:r>
      <w:r>
        <w:t xml:space="preserve"> </w:t>
      </w:r>
      <w:r>
        <w:t xml:space="preserve">functionality: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masterMinter</w:t>
      </w:r>
      <w:r>
        <w:t xml:space="preserve"> </w:t>
      </w:r>
      <w:r>
        <w:t xml:space="preserve">- adds and removes minters and increases their minting</w:t>
      </w:r>
      <w:r>
        <w:t xml:space="preserve"> </w:t>
      </w:r>
      <w:r>
        <w:t xml:space="preserve">allowance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minters</w:t>
      </w:r>
      <w:r>
        <w:t xml:space="preserve"> </w:t>
      </w:r>
      <w:r>
        <w:t xml:space="preserve">- create and destroy tokens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pauser</w:t>
      </w:r>
      <w:r>
        <w:t xml:space="preserve"> </w:t>
      </w:r>
      <w:r>
        <w:t xml:space="preserve">- pause the contract, which prevents all transfers, minting, and</w:t>
      </w:r>
      <w:r>
        <w:t xml:space="preserve"> </w:t>
      </w:r>
      <w:r>
        <w:t xml:space="preserve">burning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blacklister</w:t>
      </w:r>
      <w:r>
        <w:t xml:space="preserve"> </w:t>
      </w:r>
      <w:r>
        <w:t xml:space="preserve">- prevent all transfers to or from a particular address, and</w:t>
      </w:r>
      <w:r>
        <w:t xml:space="preserve"> </w:t>
      </w:r>
      <w:r>
        <w:t xml:space="preserve">prevents that address from minting or burning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owner</w:t>
      </w:r>
      <w:r>
        <w:t xml:space="preserve"> </w:t>
      </w:r>
      <w:r>
        <w:t xml:space="preserve">- re-assign any of the roles except for</w:t>
      </w:r>
      <w:r>
        <w:t xml:space="preserve"> </w:t>
      </w:r>
      <w:r>
        <w:rPr>
          <w:rStyle w:val="VerbatimChar"/>
        </w:rPr>
        <w:t xml:space="preserve">admin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admin</w:t>
      </w:r>
      <w:r>
        <w:t xml:space="preserve"> </w:t>
      </w:r>
      <w:r>
        <w:t xml:space="preserve">- upgrade the contract, and re-assign itself</w:t>
      </w:r>
    </w:p>
    <w:p>
      <w:pPr>
        <w:pStyle w:val="FirstParagraph"/>
      </w:pPr>
      <w:r>
        <w:t xml:space="preserve">TypeX will control the address of all roles except for minters, which will be</w:t>
      </w:r>
      <w:r>
        <w:t xml:space="preserve"> </w:t>
      </w:r>
      <w:r>
        <w:t xml:space="preserve">controlled by the entities that TypeX elects to make minters</w:t>
      </w:r>
    </w:p>
    <w:bookmarkEnd w:id="20"/>
    <w:bookmarkStart w:id="21" w:name="erc-20"/>
    <w:p>
      <w:pPr>
        <w:pStyle w:val="Heading2"/>
      </w:pPr>
      <w:r>
        <w:t xml:space="preserve">ERC-20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NATGXToken</w:t>
      </w:r>
      <w:r>
        <w:t xml:space="preserve"> </w:t>
      </w:r>
      <w:r>
        <w:t xml:space="preserve">implements the standard methods of the ERC-20 interface with</w:t>
      </w:r>
      <w:r>
        <w:t xml:space="preserve"> </w:t>
      </w:r>
      <w:r>
        <w:t xml:space="preserve">some changes:</w:t>
      </w:r>
    </w:p>
    <w:p>
      <w:pPr>
        <w:numPr>
          <w:ilvl w:val="0"/>
          <w:numId w:val="1002"/>
        </w:numPr>
        <w:pStyle w:val="Compact"/>
      </w:pPr>
      <w:r>
        <w:t xml:space="preserve">A blacklisted address will be unable to call</w:t>
      </w:r>
      <w:r>
        <w:t xml:space="preserve"> </w:t>
      </w:r>
      <w:r>
        <w:rPr>
          <w:rStyle w:val="VerbatimChar"/>
        </w:rPr>
        <w:t xml:space="preserve">transfer</w:t>
      </w:r>
      <w:r>
        <w:t xml:space="preserve">,</w:t>
      </w:r>
      <w:r>
        <w:t xml:space="preserve"> </w:t>
      </w:r>
      <w:r>
        <w:rPr>
          <w:rStyle w:val="VerbatimChar"/>
        </w:rPr>
        <w:t xml:space="preserve">transferFrom</w:t>
      </w:r>
      <w:r>
        <w:t xml:space="preserve">, or</w:t>
      </w:r>
      <w:r>
        <w:t xml:space="preserve"> </w:t>
      </w:r>
      <w:r>
        <w:rPr>
          <w:rStyle w:val="VerbatimChar"/>
        </w:rPr>
        <w:t xml:space="preserve">approve</w:t>
      </w:r>
      <w:r>
        <w:t xml:space="preserve">, and will be unable to receive tokens.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transfer</w:t>
      </w:r>
      <w:r>
        <w:t xml:space="preserve">,</w:t>
      </w:r>
      <w:r>
        <w:t xml:space="preserve"> </w:t>
      </w:r>
      <w:r>
        <w:rPr>
          <w:rStyle w:val="VerbatimChar"/>
        </w:rPr>
        <w:t xml:space="preserve">transferFrom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approve</w:t>
      </w:r>
      <w:r>
        <w:t xml:space="preserve"> </w:t>
      </w:r>
      <w:r>
        <w:t xml:space="preserve">will fail if the contract has been</w:t>
      </w:r>
      <w:r>
        <w:t xml:space="preserve"> </w:t>
      </w:r>
      <w:r>
        <w:t xml:space="preserve">paused.</w:t>
      </w:r>
    </w:p>
    <w:bookmarkEnd w:id="21"/>
    <w:bookmarkStart w:id="27" w:name="issuing-and-destroying-tokens"/>
    <w:p>
      <w:pPr>
        <w:pStyle w:val="Heading2"/>
      </w:pPr>
      <w:r>
        <w:t xml:space="preserve">Issuing and Destroying tokens</w:t>
      </w:r>
    </w:p>
    <w:p>
      <w:pPr>
        <w:pStyle w:val="FirstParagraph"/>
      </w:pPr>
      <w:r>
        <w:t xml:space="preserve">The NATGX Token allows multiple entities to create and destroy tokens. These</w:t>
      </w:r>
      <w:r>
        <w:t xml:space="preserve"> </w:t>
      </w:r>
      <w:r>
        <w:t xml:space="preserve">entities will have to be members of TypeX, and will be vetted by TypeX before</w:t>
      </w:r>
      <w:r>
        <w:t xml:space="preserve"> </w:t>
      </w:r>
      <w:r>
        <w:t xml:space="preserve">they are allowed to create new tokens. TypeX will not mint any tokens itself,</w:t>
      </w:r>
      <w:r>
        <w:t xml:space="preserve"> </w:t>
      </w:r>
      <w:r>
        <w:t xml:space="preserve">it will approve members to mint and burn tokens.</w:t>
      </w:r>
    </w:p>
    <w:p>
      <w:pPr>
        <w:pStyle w:val="BodyText"/>
      </w:pPr>
      <w:r>
        <w:t xml:space="preserve">Each</w:t>
      </w:r>
      <w:r>
        <w:t xml:space="preserve"> </w:t>
      </w:r>
      <w:r>
        <w:rPr>
          <w:rStyle w:val="VerbatimChar"/>
        </w:rPr>
        <w:t xml:space="preserve">minter</w:t>
      </w:r>
      <w:r>
        <w:t xml:space="preserve"> </w:t>
      </w:r>
      <w:r>
        <w:t xml:space="preserve">has a</w:t>
      </w:r>
      <w:r>
        <w:t xml:space="preserve"> </w:t>
      </w:r>
      <w:r>
        <w:rPr>
          <w:rStyle w:val="VerbatimChar"/>
        </w:rPr>
        <w:t xml:space="preserve">mintingAllowance</w:t>
      </w:r>
      <w:r>
        <w:t xml:space="preserve">, which TypeX configures. The</w:t>
      </w:r>
      <w:r>
        <w:t xml:space="preserve"> </w:t>
      </w:r>
      <w:r>
        <w:rPr>
          <w:rStyle w:val="VerbatimChar"/>
        </w:rPr>
        <w:t xml:space="preserve">mintingAllowance</w:t>
      </w:r>
      <w:r>
        <w:t xml:space="preserve"> </w:t>
      </w:r>
      <w:r>
        <w:t xml:space="preserve">is how many tokens that minter may issue, and as a</w:t>
      </w:r>
      <w:r>
        <w:t xml:space="preserve"> </w:t>
      </w:r>
      <w:r>
        <w:rPr>
          <w:rStyle w:val="VerbatimChar"/>
        </w:rPr>
        <w:t xml:space="preserve">minter</w:t>
      </w:r>
      <w:r>
        <w:t xml:space="preserve"> </w:t>
      </w:r>
      <w:r>
        <w:t xml:space="preserve">issues tokens, its</w:t>
      </w:r>
      <w:r>
        <w:t xml:space="preserve"> </w:t>
      </w:r>
      <w:r>
        <w:rPr>
          <w:rStyle w:val="VerbatimChar"/>
        </w:rPr>
        <w:t xml:space="preserve">mintingAllowance</w:t>
      </w:r>
      <w:r>
        <w:t xml:space="preserve"> </w:t>
      </w:r>
      <w:r>
        <w:t xml:space="preserve">declines. TypeX will periodically reset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mintingAllowance</w:t>
      </w:r>
      <w:r>
        <w:t xml:space="preserve"> </w:t>
      </w:r>
      <w:r>
        <w:t xml:space="preserve">as long as a</w:t>
      </w:r>
      <w:r>
        <w:t xml:space="preserve"> </w:t>
      </w:r>
      <w:r>
        <w:rPr>
          <w:rStyle w:val="VerbatimChar"/>
        </w:rPr>
        <w:t xml:space="preserve">minter</w:t>
      </w:r>
      <w:r>
        <w:t xml:space="preserve"> </w:t>
      </w:r>
      <w:r>
        <w:t xml:space="preserve">remains in good standing with</w:t>
      </w:r>
      <w:r>
        <w:t xml:space="preserve"> </w:t>
      </w:r>
      <w:r>
        <w:t xml:space="preserve">TypeX and maintains adequate reserves for the tokens it has issued. The</w:t>
      </w:r>
      <w:r>
        <w:t xml:space="preserve"> </w:t>
      </w:r>
      <w:r>
        <w:rPr>
          <w:rStyle w:val="VerbatimChar"/>
        </w:rPr>
        <w:t xml:space="preserve">mintingAllowance</w:t>
      </w:r>
      <w:r>
        <w:t xml:space="preserve"> </w:t>
      </w:r>
      <w:r>
        <w:t xml:space="preserve">is to limit the damage if any particular</w:t>
      </w:r>
      <w:r>
        <w:t xml:space="preserve"> </w:t>
      </w:r>
      <w:r>
        <w:rPr>
          <w:rStyle w:val="VerbatimChar"/>
        </w:rPr>
        <w:t xml:space="preserve">minter</w:t>
      </w:r>
      <w:r>
        <w:t xml:space="preserve"> </w:t>
      </w:r>
      <w:r>
        <w:t xml:space="preserve">is</w:t>
      </w:r>
      <w:r>
        <w:t xml:space="preserve"> </w:t>
      </w:r>
      <w:r>
        <w:t xml:space="preserve">compromised.</w:t>
      </w:r>
    </w:p>
    <w:bookmarkStart w:id="22" w:name="adding-minters"/>
    <w:p>
      <w:pPr>
        <w:pStyle w:val="Heading3"/>
      </w:pPr>
      <w:r>
        <w:t xml:space="preserve">Adding Minters</w:t>
      </w:r>
    </w:p>
    <w:p>
      <w:pPr>
        <w:pStyle w:val="FirstParagraph"/>
      </w:pPr>
      <w:r>
        <w:t xml:space="preserve">TypeX adds minters via the</w:t>
      </w:r>
      <w:r>
        <w:t xml:space="preserve"> </w:t>
      </w:r>
      <w:r>
        <w:rPr>
          <w:rStyle w:val="VerbatimChar"/>
        </w:rPr>
        <w:t xml:space="preserve">configureMinter</w:t>
      </w:r>
      <w:r>
        <w:t xml:space="preserve"> </w:t>
      </w:r>
      <w:r>
        <w:t xml:space="preserve">method. When a minter is</w:t>
      </w:r>
      <w:r>
        <w:t xml:space="preserve"> </w:t>
      </w:r>
      <w:r>
        <w:t xml:space="preserve">configured a</w:t>
      </w:r>
      <w:r>
        <w:t xml:space="preserve"> </w:t>
      </w:r>
      <w:r>
        <w:rPr>
          <w:rStyle w:val="VerbatimChar"/>
        </w:rPr>
        <w:t xml:space="preserve">mintingAllowance</w:t>
      </w:r>
      <w:r>
        <w:t xml:space="preserve"> </w:t>
      </w:r>
      <w:r>
        <w:t xml:space="preserve">is specified, which is the number of tokens that</w:t>
      </w:r>
      <w:r>
        <w:t xml:space="preserve"> </w:t>
      </w:r>
      <w:r>
        <w:t xml:space="preserve">address is allowed to mint. As a</w:t>
      </w:r>
      <w:r>
        <w:t xml:space="preserve"> </w:t>
      </w:r>
      <w:r>
        <w:rPr>
          <w:rStyle w:val="VerbatimChar"/>
        </w:rPr>
        <w:t xml:space="preserve">minter</w:t>
      </w:r>
      <w:r>
        <w:t xml:space="preserve"> </w:t>
      </w:r>
      <w:r>
        <w:t xml:space="preserve">mints tokens, the</w:t>
      </w:r>
      <w:r>
        <w:t xml:space="preserve"> </w:t>
      </w:r>
      <w:r>
        <w:rPr>
          <w:rStyle w:val="VerbatimChar"/>
        </w:rPr>
        <w:t xml:space="preserve">mintingAllowance</w:t>
      </w:r>
      <w:r>
        <w:t xml:space="preserve"> </w:t>
      </w:r>
      <w:r>
        <w:t xml:space="preserve">will decline.</w:t>
      </w:r>
    </w:p>
    <w:p>
      <w:pPr>
        <w:numPr>
          <w:ilvl w:val="0"/>
          <w:numId w:val="1003"/>
        </w:numPr>
        <w:pStyle w:val="Compact"/>
      </w:pPr>
      <w:r>
        <w:t xml:space="preserve">Only the</w:t>
      </w:r>
      <w:r>
        <w:t xml:space="preserve"> </w:t>
      </w:r>
      <w:r>
        <w:rPr>
          <w:rStyle w:val="VerbatimChar"/>
        </w:rPr>
        <w:t xml:space="preserve">masterMinter</w:t>
      </w:r>
      <w:r>
        <w:t xml:space="preserve"> </w:t>
      </w:r>
      <w:r>
        <w:t xml:space="preserve">role may call configureMinter.</w:t>
      </w:r>
    </w:p>
    <w:bookmarkEnd w:id="22"/>
    <w:bookmarkStart w:id="23" w:name="resetting-minting-allowance"/>
    <w:p>
      <w:pPr>
        <w:pStyle w:val="Heading3"/>
      </w:pPr>
      <w:r>
        <w:t xml:space="preserve">Resetting Minting Allowance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minters</w:t>
      </w:r>
      <w:r>
        <w:t xml:space="preserve"> </w:t>
      </w:r>
      <w:r>
        <w:t xml:space="preserve">will need their allowance reset periodically to allow them to</w:t>
      </w:r>
      <w:r>
        <w:t xml:space="preserve"> </w:t>
      </w:r>
      <w:r>
        <w:t xml:space="preserve">continue minting. When a</w:t>
      </w:r>
      <w:r>
        <w:t xml:space="preserve"> </w:t>
      </w:r>
      <w:r>
        <w:rPr>
          <w:rStyle w:val="VerbatimChar"/>
        </w:rPr>
        <w:t xml:space="preserve">minter</w:t>
      </w:r>
      <w:r>
        <w:t xml:space="preserve">’s allowance is low, TypeX can make another</w:t>
      </w:r>
      <w:r>
        <w:t xml:space="preserve"> </w:t>
      </w:r>
      <w:r>
        <w:t xml:space="preserve">call to</w:t>
      </w:r>
      <w:r>
        <w:t xml:space="preserve"> </w:t>
      </w:r>
      <w:r>
        <w:rPr>
          <w:rStyle w:val="VerbatimChar"/>
        </w:rPr>
        <w:t xml:space="preserve">configureMinter</w:t>
      </w:r>
      <w:r>
        <w:t xml:space="preserve"> </w:t>
      </w:r>
      <w:r>
        <w:t xml:space="preserve">to reset the</w:t>
      </w:r>
      <w:r>
        <w:t xml:space="preserve"> </w:t>
      </w:r>
      <w:r>
        <w:rPr>
          <w:rStyle w:val="VerbatimChar"/>
        </w:rPr>
        <w:t xml:space="preserve">mintingAllowance</w:t>
      </w:r>
      <w:r>
        <w:t xml:space="preserve"> </w:t>
      </w:r>
      <w:r>
        <w:t xml:space="preserve">to a higher value.</w:t>
      </w:r>
    </w:p>
    <w:bookmarkEnd w:id="23"/>
    <w:bookmarkStart w:id="24" w:name="removing-minters"/>
    <w:p>
      <w:pPr>
        <w:pStyle w:val="Heading3"/>
      </w:pPr>
      <w:r>
        <w:t xml:space="preserve">Removing Minters</w:t>
      </w:r>
    </w:p>
    <w:p>
      <w:pPr>
        <w:pStyle w:val="FirstParagraph"/>
      </w:pPr>
      <w:r>
        <w:t xml:space="preserve">TypeX removes minters via the</w:t>
      </w:r>
      <w:r>
        <w:t xml:space="preserve"> </w:t>
      </w:r>
      <w:r>
        <w:rPr>
          <w:rStyle w:val="VerbatimChar"/>
        </w:rPr>
        <w:t xml:space="preserve">removeMinter</w:t>
      </w:r>
      <w:r>
        <w:t xml:space="preserve"> </w:t>
      </w:r>
      <w:r>
        <w:t xml:space="preserve">method. This will remove the</w:t>
      </w:r>
      <w:r>
        <w:t xml:space="preserve"> </w:t>
      </w:r>
      <w:r>
        <w:rPr>
          <w:rStyle w:val="VerbatimChar"/>
        </w:rPr>
        <w:t xml:space="preserve">minter</w:t>
      </w:r>
      <w:r>
        <w:t xml:space="preserve"> </w:t>
      </w:r>
      <w:r>
        <w:t xml:space="preserve">from the list of</w:t>
      </w:r>
      <w:r>
        <w:t xml:space="preserve"> </w:t>
      </w:r>
      <w:r>
        <w:rPr>
          <w:rStyle w:val="VerbatimChar"/>
        </w:rPr>
        <w:t xml:space="preserve">minters</w:t>
      </w:r>
      <w:r>
        <w:t xml:space="preserve"> </w:t>
      </w:r>
      <w:r>
        <w:t xml:space="preserve">and set its</w:t>
      </w:r>
      <w:r>
        <w:t xml:space="preserve"> </w:t>
      </w:r>
      <w:r>
        <w:rPr>
          <w:rStyle w:val="VerbatimChar"/>
        </w:rPr>
        <w:t xml:space="preserve">mintingAllowance</w:t>
      </w:r>
      <w:r>
        <w:t xml:space="preserve"> </w:t>
      </w:r>
      <w:r>
        <w:t xml:space="preserve">to 0. Once a</w:t>
      </w:r>
      <w:r>
        <w:t xml:space="preserve"> </w:t>
      </w:r>
      <w:r>
        <w:rPr>
          <w:rStyle w:val="VerbatimChar"/>
        </w:rPr>
        <w:t xml:space="preserve">minter</w:t>
      </w:r>
      <w:r>
        <w:t xml:space="preserve"> </w:t>
      </w:r>
      <w:r>
        <w:t xml:space="preserve">is removed it will no longer be able to mint or burn tokens.</w:t>
      </w:r>
    </w:p>
    <w:p>
      <w:pPr>
        <w:numPr>
          <w:ilvl w:val="0"/>
          <w:numId w:val="1004"/>
        </w:numPr>
        <w:pStyle w:val="Compact"/>
      </w:pPr>
      <w:r>
        <w:t xml:space="preserve">Only the</w:t>
      </w:r>
      <w:r>
        <w:t xml:space="preserve"> </w:t>
      </w:r>
      <w:r>
        <w:rPr>
          <w:rStyle w:val="VerbatimChar"/>
        </w:rPr>
        <w:t xml:space="preserve">masterMinter</w:t>
      </w:r>
      <w:r>
        <w:t xml:space="preserve"> </w:t>
      </w:r>
      <w:r>
        <w:t xml:space="preserve">role may call</w:t>
      </w:r>
      <w:r>
        <w:t xml:space="preserve"> </w:t>
      </w:r>
      <w:r>
        <w:rPr>
          <w:rStyle w:val="VerbatimChar"/>
        </w:rPr>
        <w:t xml:space="preserve">removeMinter</w:t>
      </w:r>
      <w:r>
        <w:t xml:space="preserve">.</w:t>
      </w:r>
    </w:p>
    <w:bookmarkEnd w:id="24"/>
    <w:bookmarkStart w:id="25" w:name="minting"/>
    <w:p>
      <w:pPr>
        <w:pStyle w:val="Heading3"/>
      </w:pPr>
      <w:r>
        <w:t xml:space="preserve">Minting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rStyle w:val="VerbatimChar"/>
        </w:rPr>
        <w:t xml:space="preserve">minter</w:t>
      </w:r>
      <w:r>
        <w:t xml:space="preserve"> </w:t>
      </w:r>
      <w:r>
        <w:t xml:space="preserve">mints tokens via the</w:t>
      </w:r>
      <w:r>
        <w:t xml:space="preserve"> </w:t>
      </w:r>
      <w:r>
        <w:rPr>
          <w:rStyle w:val="VerbatimChar"/>
        </w:rPr>
        <w:t xml:space="preserve">mint</w:t>
      </w:r>
      <w:r>
        <w:t xml:space="preserve"> </w:t>
      </w:r>
      <w:r>
        <w:t xml:space="preserve">method. The</w:t>
      </w:r>
      <w:r>
        <w:t xml:space="preserve"> </w:t>
      </w:r>
      <w:r>
        <w:rPr>
          <w:rStyle w:val="VerbatimChar"/>
        </w:rPr>
        <w:t xml:space="preserve">minter</w:t>
      </w:r>
      <w:r>
        <w:t xml:space="preserve"> </w:t>
      </w:r>
      <w:r>
        <w:t xml:space="preserve">specifies the</w:t>
      </w:r>
      <w:r>
        <w:t xml:space="preserve"> </w:t>
      </w:r>
      <w:r>
        <w:rPr>
          <w:rStyle w:val="VerbatimChar"/>
        </w:rPr>
        <w:t xml:space="preserve">amount</w:t>
      </w:r>
      <w:r>
        <w:t xml:space="preserve"> </w:t>
      </w:r>
      <w:r>
        <w:t xml:space="preserve">of tokens to create, and a</w:t>
      </w:r>
      <w:r>
        <w:t xml:space="preserve"> </w:t>
      </w:r>
      <w:r>
        <w:rPr>
          <w:rStyle w:val="VerbatimChar"/>
        </w:rPr>
        <w:t xml:space="preserve">_to</w:t>
      </w:r>
      <w:r>
        <w:t xml:space="preserve"> </w:t>
      </w:r>
      <w:r>
        <w:t xml:space="preserve">address which will own the newly</w:t>
      </w:r>
      <w:r>
        <w:t xml:space="preserve"> </w:t>
      </w:r>
      <w:r>
        <w:t xml:space="preserve">created tokens. A</w:t>
      </w:r>
      <w:r>
        <w:t xml:space="preserve"> </w:t>
      </w:r>
      <w:r>
        <w:rPr>
          <w:rStyle w:val="VerbatimChar"/>
        </w:rPr>
        <w:t xml:space="preserve">minter</w:t>
      </w:r>
      <w:r>
        <w:t xml:space="preserve"> </w:t>
      </w:r>
      <w:r>
        <w:t xml:space="preserve">may only mint an amount less than or equal to its</w:t>
      </w:r>
      <w:r>
        <w:t xml:space="preserve"> </w:t>
      </w:r>
      <w:r>
        <w:rPr>
          <w:rStyle w:val="VerbatimChar"/>
        </w:rPr>
        <w:t xml:space="preserve">mintingAllowance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mintingAllowance</w:t>
      </w:r>
      <w:r>
        <w:t xml:space="preserve"> </w:t>
      </w:r>
      <w:r>
        <w:t xml:space="preserve">will decrease by the amount of tokens</w:t>
      </w:r>
      <w:r>
        <w:t xml:space="preserve"> </w:t>
      </w:r>
      <w:r>
        <w:t xml:space="preserve">minted, and the balance of the</w:t>
      </w:r>
      <w:r>
        <w:t xml:space="preserve"> </w:t>
      </w:r>
      <w:r>
        <w:rPr>
          <w:rStyle w:val="VerbatimChar"/>
        </w:rPr>
        <w:t xml:space="preserve">_to</w:t>
      </w:r>
      <w:r>
        <w:t xml:space="preserve"> </w:t>
      </w:r>
      <w:r>
        <w:t xml:space="preserve">address and</w:t>
      </w:r>
      <w:r>
        <w:t xml:space="preserve"> </w:t>
      </w:r>
      <w:r>
        <w:rPr>
          <w:rStyle w:val="VerbatimChar"/>
        </w:rPr>
        <w:t xml:space="preserve">totalSupply</w:t>
      </w:r>
      <w:r>
        <w:t xml:space="preserve"> </w:t>
      </w:r>
      <w:r>
        <w:t xml:space="preserve">will each</w:t>
      </w:r>
      <w:r>
        <w:t xml:space="preserve"> </w:t>
      </w:r>
      <w:r>
        <w:t xml:space="preserve">increase by</w:t>
      </w:r>
      <w:r>
        <w:t xml:space="preserve"> </w:t>
      </w:r>
      <w:r>
        <w:rPr>
          <w:rStyle w:val="VerbatimChar"/>
        </w:rPr>
        <w:t xml:space="preserve">amount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Only a</w:t>
      </w:r>
      <w:r>
        <w:t xml:space="preserve"> </w:t>
      </w:r>
      <w:r>
        <w:rPr>
          <w:rStyle w:val="VerbatimChar"/>
        </w:rPr>
        <w:t xml:space="preserve">minter</w:t>
      </w:r>
      <w:r>
        <w:t xml:space="preserve"> </w:t>
      </w:r>
      <w:r>
        <w:t xml:space="preserve">may call</w:t>
      </w:r>
      <w:r>
        <w:t xml:space="preserve"> </w:t>
      </w:r>
      <w:r>
        <w:rPr>
          <w:rStyle w:val="VerbatimChar"/>
        </w:rPr>
        <w:t xml:space="preserve">mint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Minting fails when the contract is</w:t>
      </w:r>
      <w:r>
        <w:t xml:space="preserve"> </w:t>
      </w:r>
      <w:r>
        <w:rPr>
          <w:rStyle w:val="VerbatimChar"/>
        </w:rPr>
        <w:t xml:space="preserve">paused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Minting fails when the</w:t>
      </w:r>
      <w:r>
        <w:t xml:space="preserve"> </w:t>
      </w:r>
      <w:r>
        <w:rPr>
          <w:rStyle w:val="VerbatimChar"/>
        </w:rPr>
        <w:t xml:space="preserve">minter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_to</w:t>
      </w:r>
      <w:r>
        <w:t xml:space="preserve"> </w:t>
      </w:r>
      <w:r>
        <w:t xml:space="preserve">address is blacklisted.</w:t>
      </w:r>
    </w:p>
    <w:p>
      <w:pPr>
        <w:numPr>
          <w:ilvl w:val="0"/>
          <w:numId w:val="1005"/>
        </w:numPr>
      </w:pPr>
      <w:r>
        <w:t xml:space="preserve">Minting emits a</w:t>
      </w:r>
      <w:r>
        <w:t xml:space="preserve"> </w:t>
      </w:r>
      <w:r>
        <w:rPr>
          <w:rStyle w:val="VerbatimChar"/>
        </w:rPr>
        <w:t xml:space="preserve">Mint(minter, _to, amount)</w:t>
      </w:r>
      <w:r>
        <w:t xml:space="preserve"> </w:t>
      </w:r>
      <w:r>
        <w:t xml:space="preserve">event and a</w:t>
      </w:r>
      <w:r>
        <w:t xml:space="preserve"> </w:t>
      </w:r>
      <w:r>
        <w:rPr>
          <w:rStyle w:val="VerbatimChar"/>
        </w:rPr>
        <w:t xml:space="preserve">Transfer(0x00, _to, amount)</w:t>
      </w:r>
      <w:r>
        <w:t xml:space="preserve"> </w:t>
      </w:r>
      <w:r>
        <w:t xml:space="preserve">event.</w:t>
      </w:r>
    </w:p>
    <w:bookmarkEnd w:id="25"/>
    <w:bookmarkStart w:id="26" w:name="burning"/>
    <w:p>
      <w:pPr>
        <w:pStyle w:val="Heading3"/>
      </w:pPr>
      <w:r>
        <w:t xml:space="preserve">Burning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rStyle w:val="VerbatimChar"/>
        </w:rPr>
        <w:t xml:space="preserve">minter</w:t>
      </w:r>
      <w:r>
        <w:t xml:space="preserve"> </w:t>
      </w:r>
      <w:r>
        <w:t xml:space="preserve">burns tokens via the</w:t>
      </w:r>
      <w:r>
        <w:t xml:space="preserve"> </w:t>
      </w:r>
      <w:r>
        <w:rPr>
          <w:rStyle w:val="VerbatimChar"/>
        </w:rPr>
        <w:t xml:space="preserve">burn</w:t>
      </w:r>
      <w:r>
        <w:t xml:space="preserve"> </w:t>
      </w:r>
      <w:r>
        <w:t xml:space="preserve">method. The</w:t>
      </w:r>
      <w:r>
        <w:t xml:space="preserve"> </w:t>
      </w:r>
      <w:r>
        <w:rPr>
          <w:rStyle w:val="VerbatimChar"/>
        </w:rPr>
        <w:t xml:space="preserve">minter</w:t>
      </w:r>
      <w:r>
        <w:t xml:space="preserve"> </w:t>
      </w:r>
      <w:r>
        <w:t xml:space="preserve">specifies the</w:t>
      </w:r>
      <w:r>
        <w:t xml:space="preserve"> </w:t>
      </w:r>
      <w:r>
        <w:rPr>
          <w:rStyle w:val="VerbatimChar"/>
        </w:rPr>
        <w:t xml:space="preserve">amount</w:t>
      </w:r>
      <w:r>
        <w:t xml:space="preserve"> </w:t>
      </w:r>
      <w:r>
        <w:t xml:space="preserve">of tokens to burn, and the</w:t>
      </w:r>
      <w:r>
        <w:t xml:space="preserve"> </w:t>
      </w:r>
      <w:r>
        <w:rPr>
          <w:rStyle w:val="VerbatimChar"/>
        </w:rPr>
        <w:t xml:space="preserve">minter</w:t>
      </w:r>
      <w:r>
        <w:t xml:space="preserve"> </w:t>
      </w:r>
      <w:r>
        <w:t xml:space="preserve">must have a</w:t>
      </w:r>
      <w:r>
        <w:t xml:space="preserve"> </w:t>
      </w:r>
      <w:r>
        <w:rPr>
          <w:rStyle w:val="VerbatimChar"/>
        </w:rPr>
        <w:t xml:space="preserve">balance</w:t>
      </w:r>
      <w:r>
        <w:t xml:space="preserve"> </w:t>
      </w:r>
      <w:r>
        <w:t xml:space="preserve">greater than</w:t>
      </w:r>
      <w:r>
        <w:t xml:space="preserve"> </w:t>
      </w:r>
      <w:r>
        <w:t xml:space="preserve">or equal to the</w:t>
      </w:r>
      <w:r>
        <w:t xml:space="preserve"> </w:t>
      </w:r>
      <w:r>
        <w:rPr>
          <w:rStyle w:val="VerbatimChar"/>
        </w:rPr>
        <w:t xml:space="preserve">amount</w:t>
      </w:r>
      <w:r>
        <w:t xml:space="preserve">. Burning tokens is restricted to</w:t>
      </w:r>
      <w:r>
        <w:t xml:space="preserve"> </w:t>
      </w:r>
      <w:r>
        <w:rPr>
          <w:rStyle w:val="VerbatimChar"/>
        </w:rPr>
        <w:t xml:space="preserve">minter</w:t>
      </w:r>
      <w:r>
        <w:t xml:space="preserve"> </w:t>
      </w:r>
      <w:r>
        <w:t xml:space="preserve">addresses to</w:t>
      </w:r>
      <w:r>
        <w:t xml:space="preserve"> </w:t>
      </w:r>
      <w:r>
        <w:t xml:space="preserve">avoid accidental burning of tokens by end users. A</w:t>
      </w:r>
      <w:r>
        <w:t xml:space="preserve"> </w:t>
      </w:r>
      <w:r>
        <w:rPr>
          <w:rStyle w:val="VerbatimChar"/>
        </w:rPr>
        <w:t xml:space="preserve">minter</w:t>
      </w:r>
      <w:r>
        <w:t xml:space="preserve"> </w:t>
      </w:r>
      <w:r>
        <w:t xml:space="preserve">with a</w:t>
      </w:r>
      <w:r>
        <w:t xml:space="preserve"> </w:t>
      </w:r>
      <w:r>
        <w:rPr>
          <w:rStyle w:val="VerbatimChar"/>
        </w:rPr>
        <w:t xml:space="preserve">mintingAllowance</w:t>
      </w:r>
      <w:r>
        <w:t xml:space="preserve"> </w:t>
      </w:r>
      <w:r>
        <w:t xml:space="preserve">of 0 is allowed to burn tokens. A</w:t>
      </w:r>
      <w:r>
        <w:t xml:space="preserve"> </w:t>
      </w:r>
      <w:r>
        <w:rPr>
          <w:rStyle w:val="VerbatimChar"/>
        </w:rPr>
        <w:t xml:space="preserve">minter</w:t>
      </w:r>
      <w:r>
        <w:t xml:space="preserve"> </w:t>
      </w:r>
      <w:r>
        <w:t xml:space="preserve">can only burn</w:t>
      </w:r>
      <w:r>
        <w:t xml:space="preserve"> </w:t>
      </w:r>
      <w:r>
        <w:t xml:space="preserve">tokens which it owns. When a minter burns tokens, its balance and the</w:t>
      </w:r>
      <w:r>
        <w:t xml:space="preserve"> </w:t>
      </w:r>
      <w:r>
        <w:t xml:space="preserve">totalSupply are reduced by</w:t>
      </w:r>
      <w:r>
        <w:t xml:space="preserve"> </w:t>
      </w:r>
      <w:r>
        <w:rPr>
          <w:rStyle w:val="VerbatimChar"/>
        </w:rPr>
        <w:t xml:space="preserve">amount</w:t>
      </w:r>
      <w:r>
        <w:t xml:space="preserve">.</w:t>
      </w:r>
    </w:p>
    <w:p>
      <w:pPr>
        <w:pStyle w:val="BodyText"/>
      </w:pPr>
      <w:r>
        <w:t xml:space="preserve">Burning tokens will not increase the mintingAllowance of the address doing the</w:t>
      </w:r>
      <w:r>
        <w:t xml:space="preserve"> </w:t>
      </w:r>
      <w:r>
        <w:t xml:space="preserve">burning.</w:t>
      </w:r>
    </w:p>
    <w:p>
      <w:pPr>
        <w:numPr>
          <w:ilvl w:val="0"/>
          <w:numId w:val="1006"/>
        </w:numPr>
      </w:pPr>
      <w:r>
        <w:t xml:space="preserve">Only a minter may call burn.</w:t>
      </w:r>
    </w:p>
    <w:p>
      <w:pPr>
        <w:numPr>
          <w:ilvl w:val="0"/>
          <w:numId w:val="1006"/>
        </w:numPr>
      </w:pPr>
      <w:r>
        <w:t xml:space="preserve">Burning fails when the contract is paused.</w:t>
      </w:r>
    </w:p>
    <w:p>
      <w:pPr>
        <w:numPr>
          <w:ilvl w:val="0"/>
          <w:numId w:val="1006"/>
        </w:numPr>
      </w:pPr>
      <w:r>
        <w:t xml:space="preserve">Burning fails when the minter is blacklisted.</w:t>
      </w:r>
    </w:p>
    <w:p>
      <w:pPr>
        <w:numPr>
          <w:ilvl w:val="0"/>
          <w:numId w:val="1006"/>
        </w:numPr>
      </w:pPr>
      <w:r>
        <w:t xml:space="preserve">Burning emits a</w:t>
      </w:r>
      <w:r>
        <w:t xml:space="preserve"> </w:t>
      </w:r>
      <w:r>
        <w:rPr>
          <w:rStyle w:val="VerbatimChar"/>
        </w:rPr>
        <w:t xml:space="preserve">Burn(minter, amount)</w:t>
      </w:r>
      <w:r>
        <w:t xml:space="preserve"> </w:t>
      </w:r>
      <w:r>
        <w:t xml:space="preserve">event, and a</w:t>
      </w:r>
      <w:r>
        <w:t xml:space="preserve"> </w:t>
      </w:r>
      <w:r>
        <w:rPr>
          <w:rStyle w:val="VerbatimChar"/>
        </w:rPr>
        <w:t xml:space="preserve">Transfer(minter, 0x00, amount)</w:t>
      </w:r>
      <w:r>
        <w:t xml:space="preserve"> </w:t>
      </w:r>
      <w:r>
        <w:t xml:space="preserve">event.</w:t>
      </w:r>
    </w:p>
    <w:bookmarkEnd w:id="26"/>
    <w:bookmarkEnd w:id="27"/>
    <w:bookmarkStart w:id="30" w:name="blacklisting"/>
    <w:p>
      <w:pPr>
        <w:pStyle w:val="Heading2"/>
      </w:pPr>
      <w:r>
        <w:t xml:space="preserve">Blacklisting</w:t>
      </w:r>
    </w:p>
    <w:p>
      <w:pPr>
        <w:pStyle w:val="FirstParagraph"/>
      </w:pPr>
      <w:r>
        <w:t xml:space="preserve">Addresses can be blacklisted. A blacklisted address will be unable to transfer</w:t>
      </w:r>
      <w:r>
        <w:t xml:space="preserve"> </w:t>
      </w:r>
      <w:r>
        <w:t xml:space="preserve">tokens, approve, mint, or burn tokens.</w:t>
      </w:r>
    </w:p>
    <w:bookmarkStart w:id="28" w:name="adding-a-blacklisted-address"/>
    <w:p>
      <w:pPr>
        <w:pStyle w:val="Heading3"/>
      </w:pPr>
      <w:r>
        <w:t xml:space="preserve">Adding a blacklisted address</w:t>
      </w:r>
    </w:p>
    <w:p>
      <w:pPr>
        <w:pStyle w:val="FirstParagraph"/>
      </w:pPr>
      <w:r>
        <w:t xml:space="preserve">TypeX blacklists an address via the</w:t>
      </w:r>
      <w:r>
        <w:t xml:space="preserve"> </w:t>
      </w:r>
      <w:r>
        <w:rPr>
          <w:rStyle w:val="VerbatimChar"/>
        </w:rPr>
        <w:t xml:space="preserve">blacklist</w:t>
      </w:r>
      <w:r>
        <w:t xml:space="preserve"> </w:t>
      </w:r>
      <w:r>
        <w:t xml:space="preserve">method. The specified</w:t>
      </w:r>
      <w:r>
        <w:t xml:space="preserve"> </w:t>
      </w:r>
      <w:r>
        <w:rPr>
          <w:rStyle w:val="VerbatimChar"/>
        </w:rPr>
        <w:t xml:space="preserve">account</w:t>
      </w:r>
      <w:r>
        <w:t xml:space="preserve"> </w:t>
      </w:r>
      <w:r>
        <w:t xml:space="preserve">will be added to the blacklist.</w:t>
      </w:r>
    </w:p>
    <w:p>
      <w:pPr>
        <w:numPr>
          <w:ilvl w:val="0"/>
          <w:numId w:val="1007"/>
        </w:numPr>
        <w:pStyle w:val="Compact"/>
      </w:pPr>
      <w:r>
        <w:t xml:space="preserve">Only the</w:t>
      </w:r>
      <w:r>
        <w:t xml:space="preserve"> </w:t>
      </w:r>
      <w:r>
        <w:rPr>
          <w:rStyle w:val="VerbatimChar"/>
        </w:rPr>
        <w:t xml:space="preserve">blacklister</w:t>
      </w:r>
      <w:r>
        <w:t xml:space="preserve"> </w:t>
      </w:r>
      <w:r>
        <w:t xml:space="preserve">role may call</w:t>
      </w:r>
      <w:r>
        <w:t xml:space="preserve"> </w:t>
      </w:r>
      <w:r>
        <w:rPr>
          <w:rStyle w:val="VerbatimChar"/>
        </w:rPr>
        <w:t xml:space="preserve">blacklist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Blacklisting emits a</w:t>
      </w:r>
      <w:r>
        <w:t xml:space="preserve"> </w:t>
      </w:r>
      <w:r>
        <w:rPr>
          <w:rStyle w:val="VerbatimChar"/>
        </w:rPr>
        <w:t xml:space="preserve">Blacklist(account)</w:t>
      </w:r>
      <w:r>
        <w:t xml:space="preserve"> </w:t>
      </w:r>
      <w:r>
        <w:t xml:space="preserve">event</w:t>
      </w:r>
    </w:p>
    <w:bookmarkEnd w:id="28"/>
    <w:bookmarkStart w:id="29" w:name="removing-a-blacklisted-address"/>
    <w:p>
      <w:pPr>
        <w:pStyle w:val="Heading3"/>
      </w:pPr>
      <w:r>
        <w:t xml:space="preserve">Removing a blacklisted address</w:t>
      </w:r>
    </w:p>
    <w:p>
      <w:pPr>
        <w:pStyle w:val="FirstParagraph"/>
      </w:pPr>
      <w:r>
        <w:t xml:space="preserve">TypeX removes an address from the blacklist via the</w:t>
      </w:r>
      <w:r>
        <w:t xml:space="preserve"> </w:t>
      </w:r>
      <w:r>
        <w:rPr>
          <w:rStyle w:val="VerbatimChar"/>
        </w:rPr>
        <w:t xml:space="preserve">unblacklist</w:t>
      </w:r>
      <w:r>
        <w:t xml:space="preserve"> </w:t>
      </w:r>
      <w:r>
        <w:t xml:space="preserve">method. The</w:t>
      </w:r>
      <w:r>
        <w:t xml:space="preserve"> </w:t>
      </w:r>
      <w:r>
        <w:t xml:space="preserve">specified</w:t>
      </w:r>
      <w:r>
        <w:t xml:space="preserve"> </w:t>
      </w:r>
      <w:r>
        <w:rPr>
          <w:rStyle w:val="VerbatimChar"/>
        </w:rPr>
        <w:t xml:space="preserve">account</w:t>
      </w:r>
      <w:r>
        <w:t xml:space="preserve"> </w:t>
      </w:r>
      <w:r>
        <w:t xml:space="preserve">will be removed from the blacklist.</w:t>
      </w:r>
    </w:p>
    <w:p>
      <w:pPr>
        <w:numPr>
          <w:ilvl w:val="0"/>
          <w:numId w:val="1008"/>
        </w:numPr>
        <w:pStyle w:val="Compact"/>
      </w:pPr>
      <w:r>
        <w:t xml:space="preserve">Only the</w:t>
      </w:r>
      <w:r>
        <w:t xml:space="preserve"> </w:t>
      </w:r>
      <w:r>
        <w:rPr>
          <w:rStyle w:val="VerbatimChar"/>
        </w:rPr>
        <w:t xml:space="preserve">blacklister</w:t>
      </w:r>
      <w:r>
        <w:t xml:space="preserve"> </w:t>
      </w:r>
      <w:r>
        <w:t xml:space="preserve">role may call</w:t>
      </w:r>
      <w:r>
        <w:t xml:space="preserve"> </w:t>
      </w:r>
      <w:r>
        <w:rPr>
          <w:rStyle w:val="VerbatimChar"/>
        </w:rPr>
        <w:t xml:space="preserve">unblacklist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Unblacklisting emits an</w:t>
      </w:r>
      <w:r>
        <w:t xml:space="preserve"> </w:t>
      </w:r>
      <w:r>
        <w:rPr>
          <w:rStyle w:val="VerbatimChar"/>
        </w:rPr>
        <w:t xml:space="preserve">UnBlacklist(account)</w:t>
      </w:r>
      <w:r>
        <w:t xml:space="preserve"> </w:t>
      </w:r>
      <w:r>
        <w:t xml:space="preserve">event.</w:t>
      </w:r>
    </w:p>
    <w:bookmarkEnd w:id="29"/>
    <w:bookmarkEnd w:id="30"/>
    <w:bookmarkStart w:id="33" w:name="pausing"/>
    <w:p>
      <w:pPr>
        <w:pStyle w:val="Heading2"/>
      </w:pPr>
      <w:r>
        <w:t xml:space="preserve">Pausing</w:t>
      </w:r>
    </w:p>
    <w:p>
      <w:pPr>
        <w:pStyle w:val="FirstParagraph"/>
      </w:pPr>
      <w:r>
        <w:t xml:space="preserve">The entire contract can be paused in case a serious bug is found or there is a</w:t>
      </w:r>
      <w:r>
        <w:t xml:space="preserve"> </w:t>
      </w:r>
      <w:r>
        <w:t xml:space="preserve">serious key compromise. All transfers, minting, burning, and adding minters will</w:t>
      </w:r>
      <w:r>
        <w:t xml:space="preserve"> </w:t>
      </w:r>
      <w:r>
        <w:t xml:space="preserve">be prevented while the contract is paused. Other functionality, such as</w:t>
      </w:r>
      <w:r>
        <w:t xml:space="preserve"> </w:t>
      </w:r>
      <w:r>
        <w:t xml:space="preserve">modifying the blacklist, removing minters, changing roles, and upgrading will</w:t>
      </w:r>
      <w:r>
        <w:t xml:space="preserve"> </w:t>
      </w:r>
      <w:r>
        <w:t xml:space="preserve">remain operational as those methods may be required to fix or mitigate the issue</w:t>
      </w:r>
      <w:r>
        <w:t xml:space="preserve"> </w:t>
      </w:r>
      <w:r>
        <w:t xml:space="preserve">that caused TypeX to pause the contract.</w:t>
      </w:r>
    </w:p>
    <w:bookmarkStart w:id="31" w:name="pause"/>
    <w:p>
      <w:pPr>
        <w:pStyle w:val="Heading3"/>
      </w:pPr>
      <w:r>
        <w:t xml:space="preserve">Pause</w:t>
      </w:r>
    </w:p>
    <w:p>
      <w:pPr>
        <w:pStyle w:val="FirstParagraph"/>
      </w:pPr>
      <w:r>
        <w:t xml:space="preserve">TypeX will pause the contract via the</w:t>
      </w:r>
      <w:r>
        <w:t xml:space="preserve"> </w:t>
      </w:r>
      <w:r>
        <w:rPr>
          <w:rStyle w:val="VerbatimChar"/>
        </w:rPr>
        <w:t xml:space="preserve">pause</w:t>
      </w:r>
      <w:r>
        <w:t xml:space="preserve"> </w:t>
      </w:r>
      <w:r>
        <w:t xml:space="preserve">method. This method will set the</w:t>
      </w:r>
      <w:r>
        <w:t xml:space="preserve"> </w:t>
      </w:r>
      <w:r>
        <w:t xml:space="preserve">paused flag to true.</w:t>
      </w:r>
    </w:p>
    <w:p>
      <w:pPr>
        <w:numPr>
          <w:ilvl w:val="0"/>
          <w:numId w:val="1009"/>
        </w:numPr>
      </w:pPr>
      <w:r>
        <w:t xml:space="preserve">Only the</w:t>
      </w:r>
      <w:r>
        <w:t xml:space="preserve"> </w:t>
      </w:r>
      <w:r>
        <w:rPr>
          <w:rStyle w:val="VerbatimChar"/>
        </w:rPr>
        <w:t xml:space="preserve">pauser</w:t>
      </w:r>
      <w:r>
        <w:t xml:space="preserve"> </w:t>
      </w:r>
      <w:r>
        <w:t xml:space="preserve">role may call pause.</w:t>
      </w:r>
    </w:p>
    <w:p>
      <w:pPr>
        <w:numPr>
          <w:ilvl w:val="0"/>
          <w:numId w:val="1009"/>
        </w:numPr>
      </w:pPr>
      <w:r>
        <w:t xml:space="preserve">Pausing emits a</w:t>
      </w:r>
      <w:r>
        <w:t xml:space="preserve"> </w:t>
      </w:r>
      <w:r>
        <w:rPr>
          <w:rStyle w:val="VerbatimChar"/>
        </w:rPr>
        <w:t xml:space="preserve">Pause()</w:t>
      </w:r>
      <w:r>
        <w:t xml:space="preserve"> </w:t>
      </w:r>
      <w:r>
        <w:t xml:space="preserve">event</w:t>
      </w:r>
    </w:p>
    <w:bookmarkEnd w:id="31"/>
    <w:bookmarkStart w:id="32" w:name="unpause"/>
    <w:p>
      <w:pPr>
        <w:pStyle w:val="Heading3"/>
      </w:pPr>
      <w:r>
        <w:t xml:space="preserve">Unpause</w:t>
      </w:r>
    </w:p>
    <w:p>
      <w:pPr>
        <w:pStyle w:val="FirstParagraph"/>
      </w:pPr>
      <w:r>
        <w:t xml:space="preserve">TypeX will unpause the contract via the</w:t>
      </w:r>
      <w:r>
        <w:t xml:space="preserve"> </w:t>
      </w:r>
      <w:r>
        <w:rPr>
          <w:rStyle w:val="VerbatimChar"/>
        </w:rPr>
        <w:t xml:space="preserve">unpause</w:t>
      </w:r>
      <w:r>
        <w:t xml:space="preserve"> </w:t>
      </w:r>
      <w:r>
        <w:t xml:space="preserve">method. This method will set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paused</w:t>
      </w:r>
      <w:r>
        <w:t xml:space="preserve"> </w:t>
      </w:r>
      <w:r>
        <w:t xml:space="preserve">flag to false. All functionality will be restored when the contract</w:t>
      </w:r>
      <w:r>
        <w:t xml:space="preserve"> </w:t>
      </w:r>
      <w:r>
        <w:t xml:space="preserve">is unpaused.</w:t>
      </w:r>
    </w:p>
    <w:p>
      <w:pPr>
        <w:numPr>
          <w:ilvl w:val="0"/>
          <w:numId w:val="1010"/>
        </w:numPr>
      </w:pPr>
      <w:r>
        <w:t xml:space="preserve">Only the</w:t>
      </w:r>
      <w:r>
        <w:t xml:space="preserve"> </w:t>
      </w:r>
      <w:r>
        <w:rPr>
          <w:rStyle w:val="VerbatimChar"/>
        </w:rPr>
        <w:t xml:space="preserve">pauser</w:t>
      </w:r>
      <w:r>
        <w:t xml:space="preserve"> </w:t>
      </w:r>
      <w:r>
        <w:t xml:space="preserve">role may call unpause.</w:t>
      </w:r>
    </w:p>
    <w:p>
      <w:pPr>
        <w:numPr>
          <w:ilvl w:val="0"/>
          <w:numId w:val="1010"/>
        </w:numPr>
      </w:pPr>
      <w:r>
        <w:t xml:space="preserve">Unpausing emits an</w:t>
      </w:r>
      <w:r>
        <w:t xml:space="preserve"> </w:t>
      </w:r>
      <w:r>
        <w:rPr>
          <w:rStyle w:val="VerbatimChar"/>
        </w:rPr>
        <w:t xml:space="preserve">Unpause()</w:t>
      </w:r>
      <w:r>
        <w:t xml:space="preserve"> </w:t>
      </w:r>
      <w:r>
        <w:t xml:space="preserve">event</w:t>
      </w:r>
    </w:p>
    <w:bookmarkEnd w:id="32"/>
    <w:bookmarkEnd w:id="33"/>
    <w:bookmarkStart w:id="36" w:name="upgrading"/>
    <w:p>
      <w:pPr>
        <w:pStyle w:val="Heading2"/>
      </w:pPr>
      <w:r>
        <w:t xml:space="preserve">Upgrading</w:t>
      </w:r>
    </w:p>
    <w:p>
      <w:pPr>
        <w:pStyle w:val="FirstParagraph"/>
      </w:pPr>
      <w:r>
        <w:t xml:space="preserve">The NATGX Token uses the zeppelinos Unstructured-Storage Proxy pattern</w:t>
      </w:r>
      <w:r>
        <w:t xml:space="preserve"> </w:t>
      </w:r>
      <w:r>
        <w:t xml:space="preserve">[https://docs.zeppelinos.org/docs/upgradeability_AdminUpgradeabilityProxy.html].</w:t>
      </w:r>
      <w:r>
        <w:t xml:space="preserve"> </w:t>
      </w:r>
      <w:hyperlink r:id="rId34">
        <w:r>
          <w:rPr>
            <w:rStyle w:val="Hyperlink"/>
          </w:rPr>
          <w:t xml:space="preserve">NATGXTokenV1.sol</w:t>
        </w:r>
      </w:hyperlink>
      <w:r>
        <w:t xml:space="preserve"> </w:t>
      </w:r>
      <w:r>
        <w:t xml:space="preserve">is the implementation, the</w:t>
      </w:r>
      <w:r>
        <w:t xml:space="preserve"> </w:t>
      </w:r>
      <w:r>
        <w:t xml:space="preserve">actual token will be a Proxy contract</w:t>
      </w:r>
    </w:p>
    <w:p>
      <w:pPr>
        <w:pStyle w:val="BodyText"/>
      </w:pPr>
      <w:r>
        <w:t xml:space="preserve">Note that this is how USDC appears to be deployed currently</w:t>
      </w:r>
    </w:p>
    <w:p>
      <w:pPr>
        <w:pStyle w:val="BodyText"/>
      </w:pPr>
      <w:r>
        <w:t xml:space="preserve">(</w:t>
      </w:r>
      <w:hyperlink r:id="rId35">
        <w:r>
          <w:rPr>
            <w:rStyle w:val="Hyperlink"/>
          </w:rPr>
          <w:t xml:space="preserve">NATGXTokenProxy.sol</w:t>
        </w:r>
      </w:hyperlink>
      <w:r>
        <w:t xml:space="preserve">) which will forward all</w:t>
      </w:r>
      <w:r>
        <w:t xml:space="preserve"> </w:t>
      </w:r>
      <w:r>
        <w:t xml:space="preserve">calls to</w:t>
      </w:r>
      <w:r>
        <w:t xml:space="preserve"> </w:t>
      </w:r>
      <w:r>
        <w:rPr>
          <w:rStyle w:val="VerbatimChar"/>
        </w:rPr>
        <w:t xml:space="preserve">NATGXToken</w:t>
      </w:r>
      <w:r>
        <w:t xml:space="preserve"> </w:t>
      </w:r>
      <w:r>
        <w:t xml:space="preserve">via delegatecall. This pattern allows TypeX to upgrade the</w:t>
      </w:r>
      <w:r>
        <w:t xml:space="preserve"> </w:t>
      </w:r>
      <w:r>
        <w:t xml:space="preserve">logic of any deployed tokens seamlessly.</w:t>
      </w:r>
    </w:p>
    <w:p>
      <w:pPr>
        <w:numPr>
          <w:ilvl w:val="0"/>
          <w:numId w:val="1011"/>
        </w:numPr>
        <w:pStyle w:val="Compact"/>
      </w:pPr>
      <w:r>
        <w:t xml:space="preserve">TypeX will upgrade the token via a call to</w:t>
      </w:r>
      <w:r>
        <w:t xml:space="preserve"> </w:t>
      </w:r>
      <w:r>
        <w:rPr>
          <w:rStyle w:val="VerbatimChar"/>
        </w:rPr>
        <w:t xml:space="preserve">upgradeTo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upgradeToAndCall</w:t>
      </w:r>
      <w:r>
        <w:t xml:space="preserve"> </w:t>
      </w:r>
      <w:r>
        <w:t xml:space="preserve">if initialization is required for the new version.</w:t>
      </w:r>
    </w:p>
    <w:p>
      <w:pPr>
        <w:numPr>
          <w:ilvl w:val="0"/>
          <w:numId w:val="1011"/>
        </w:numPr>
        <w:pStyle w:val="Compact"/>
      </w:pPr>
      <w:r>
        <w:t xml:space="preserve">Only the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 </w:t>
      </w:r>
      <w:r>
        <w:t xml:space="preserve">role may call</w:t>
      </w:r>
      <w:r>
        <w:t xml:space="preserve"> </w:t>
      </w:r>
      <w:r>
        <w:rPr>
          <w:rStyle w:val="VerbatimChar"/>
        </w:rPr>
        <w:t xml:space="preserve">upgradeTo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upgradeToAndCall</w:t>
      </w:r>
      <w:r>
        <w:t xml:space="preserve">.</w:t>
      </w:r>
    </w:p>
    <w:bookmarkEnd w:id="36"/>
    <w:bookmarkStart w:id="42" w:name="reassigning-roles"/>
    <w:p>
      <w:pPr>
        <w:pStyle w:val="Heading2"/>
      </w:pPr>
      <w:r>
        <w:t xml:space="preserve">Reassigning Roles</w:t>
      </w:r>
    </w:p>
    <w:p>
      <w:pPr>
        <w:pStyle w:val="FirstParagraph"/>
      </w:pPr>
      <w:r>
        <w:t xml:space="preserve">The roles outlined above may be reassigned. The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 </w:t>
      </w:r>
      <w:r>
        <w:t xml:space="preserve">role has the ability to</w:t>
      </w:r>
      <w:r>
        <w:t xml:space="preserve"> </w:t>
      </w:r>
      <w:r>
        <w:t xml:space="preserve">reassign all roles (including itself) except for the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 </w:t>
      </w:r>
      <w:r>
        <w:t xml:space="preserve">role.</w:t>
      </w:r>
    </w:p>
    <w:bookmarkStart w:id="37" w:name="admin"/>
    <w:p>
      <w:pPr>
        <w:pStyle w:val="Heading3"/>
      </w:pPr>
      <w:r>
        <w:t xml:space="preserve">Admin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changeAdmin</w:t>
      </w:r>
      <w:r>
        <w:t xml:space="preserve"> </w:t>
      </w:r>
      <w:r>
        <w:t xml:space="preserve">updates the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 </w:t>
      </w:r>
      <w:r>
        <w:t xml:space="preserve">role to a new address.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changeAdmin</w:t>
      </w:r>
      <w:r>
        <w:t xml:space="preserve"> </w:t>
      </w:r>
      <w:r>
        <w:t xml:space="preserve">may only be called by the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 </w:t>
      </w:r>
      <w:r>
        <w:t xml:space="preserve">role.</w:t>
      </w:r>
    </w:p>
    <w:bookmarkEnd w:id="37"/>
    <w:bookmarkStart w:id="38" w:name="master-minter"/>
    <w:p>
      <w:pPr>
        <w:pStyle w:val="Heading3"/>
      </w:pPr>
      <w:r>
        <w:t xml:space="preserve">Master Minter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updateMasterMinter</w:t>
      </w:r>
      <w:r>
        <w:t xml:space="preserve"> </w:t>
      </w:r>
      <w:r>
        <w:t xml:space="preserve">updates the</w:t>
      </w:r>
      <w:r>
        <w:t xml:space="preserve"> </w:t>
      </w:r>
      <w:r>
        <w:rPr>
          <w:rStyle w:val="VerbatimChar"/>
        </w:rPr>
        <w:t xml:space="preserve">masterMinter</w:t>
      </w:r>
      <w:r>
        <w:t xml:space="preserve"> </w:t>
      </w:r>
      <w:r>
        <w:t xml:space="preserve">role to a new address.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updateMasterMinter</w:t>
      </w:r>
      <w:r>
        <w:t xml:space="preserve"> </w:t>
      </w:r>
      <w:r>
        <w:t xml:space="preserve">may only be called by the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 </w:t>
      </w:r>
      <w:r>
        <w:t xml:space="preserve">role.</w:t>
      </w:r>
    </w:p>
    <w:bookmarkEnd w:id="38"/>
    <w:bookmarkStart w:id="39" w:name="pauser"/>
    <w:p>
      <w:pPr>
        <w:pStyle w:val="Heading3"/>
      </w:pPr>
      <w:r>
        <w:t xml:space="preserve">Pauser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updatePauser</w:t>
      </w:r>
      <w:r>
        <w:t xml:space="preserve"> </w:t>
      </w:r>
      <w:r>
        <w:t xml:space="preserve">updates the</w:t>
      </w:r>
      <w:r>
        <w:t xml:space="preserve"> </w:t>
      </w:r>
      <w:r>
        <w:rPr>
          <w:rStyle w:val="VerbatimChar"/>
        </w:rPr>
        <w:t xml:space="preserve">pauser</w:t>
      </w:r>
      <w:r>
        <w:t xml:space="preserve"> </w:t>
      </w:r>
      <w:r>
        <w:t xml:space="preserve">role to a new address.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updatePauser</w:t>
      </w:r>
      <w:r>
        <w:t xml:space="preserve"> </w:t>
      </w:r>
      <w:r>
        <w:t xml:space="preserve">may only be called by the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 </w:t>
      </w:r>
      <w:r>
        <w:t xml:space="preserve">role.</w:t>
      </w:r>
    </w:p>
    <w:bookmarkEnd w:id="39"/>
    <w:bookmarkStart w:id="40" w:name="blacklister"/>
    <w:p>
      <w:pPr>
        <w:pStyle w:val="Heading3"/>
      </w:pPr>
      <w:r>
        <w:t xml:space="preserve">Blacklister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</w:rPr>
        <w:t xml:space="preserve">updateBlacklister</w:t>
      </w:r>
      <w:r>
        <w:t xml:space="preserve"> </w:t>
      </w:r>
      <w:r>
        <w:t xml:space="preserve">updates the</w:t>
      </w:r>
      <w:r>
        <w:t xml:space="preserve"> </w:t>
      </w:r>
      <w:r>
        <w:rPr>
          <w:rStyle w:val="VerbatimChar"/>
        </w:rPr>
        <w:t xml:space="preserve">blacklister</w:t>
      </w:r>
      <w:r>
        <w:t xml:space="preserve"> </w:t>
      </w:r>
      <w:r>
        <w:t xml:space="preserve">role to a new address.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</w:rPr>
        <w:t xml:space="preserve">updateBlacklister</w:t>
      </w:r>
      <w:r>
        <w:t xml:space="preserve"> </w:t>
      </w:r>
      <w:r>
        <w:t xml:space="preserve">may only be called by the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 </w:t>
      </w:r>
      <w:r>
        <w:t xml:space="preserve">role.</w:t>
      </w:r>
    </w:p>
    <w:bookmarkEnd w:id="40"/>
    <w:bookmarkStart w:id="41" w:name="owner"/>
    <w:p>
      <w:pPr>
        <w:pStyle w:val="Heading3"/>
      </w:pPr>
      <w:r>
        <w:t xml:space="preserve">Owner</w:t>
      </w:r>
    </w:p>
    <w:p>
      <w:pPr>
        <w:numPr>
          <w:ilvl w:val="0"/>
          <w:numId w:val="1016"/>
        </w:numPr>
        <w:pStyle w:val="Compact"/>
      </w:pPr>
      <w:r>
        <w:rPr>
          <w:rStyle w:val="VerbatimChar"/>
        </w:rPr>
        <w:t xml:space="preserve">transferOwnership</w:t>
      </w:r>
      <w:r>
        <w:t xml:space="preserve"> </w:t>
      </w:r>
      <w:r>
        <w:t xml:space="preserve">updates the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 </w:t>
      </w:r>
      <w:r>
        <w:t xml:space="preserve">role to a new address.</w:t>
      </w:r>
    </w:p>
    <w:p>
      <w:pPr>
        <w:numPr>
          <w:ilvl w:val="0"/>
          <w:numId w:val="1016"/>
        </w:numPr>
        <w:pStyle w:val="Compact"/>
      </w:pPr>
      <w:r>
        <w:rPr>
          <w:rStyle w:val="VerbatimChar"/>
        </w:rPr>
        <w:t xml:space="preserve">transferOwnership</w:t>
      </w:r>
      <w:r>
        <w:t xml:space="preserve"> </w:t>
      </w:r>
      <w:r>
        <w:t xml:space="preserve">may only be called by the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 </w:t>
      </w:r>
      <w:r>
        <w:t xml:space="preserve">role.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../contracts/FiatTokenProxy.sol" TargetMode="External" /><Relationship Type="http://schemas.openxmlformats.org/officeDocument/2006/relationships/hyperlink" Id="rId34" Target="../contracts/FiatTokenV1.so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../contracts/FiatTokenProxy.sol" TargetMode="External" /><Relationship Type="http://schemas.openxmlformats.org/officeDocument/2006/relationships/hyperlink" Id="rId34" Target="../contracts/FiatTokenV1.so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2021-11-28T18:32:07Z</dcterms:created>
  <dcterms:modified xsi:type="dcterms:W3CDTF">2021-11-28T18:32:07Z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