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draft-upgrading-a-commoditytoken"/>
    <w:p>
      <w:pPr>
        <w:pStyle w:val="Heading1"/>
      </w:pPr>
      <w:r>
        <w:t xml:space="preserve">DRAFT: Upgrading a CommodityToken</w:t>
      </w:r>
    </w:p>
    <w:p>
      <w:pPr>
        <w:pStyle w:val="FirstParagraph"/>
      </w:pPr>
      <w:r>
        <w:t xml:space="preserve">This is the process for creating an upgraded token, deploying the upgraded</w:t>
      </w:r>
      <w:r>
        <w:t xml:space="preserve"> </w:t>
      </w:r>
      <w:r>
        <w:t xml:space="preserve">token, and pointing an existing proxy to the upgraded token.</w:t>
      </w:r>
    </w:p>
    <w:bookmarkStart w:id="23" w:name="upgraded-token-construction"/>
    <w:p>
      <w:pPr>
        <w:pStyle w:val="Heading2"/>
      </w:pPr>
      <w:r>
        <w:t xml:space="preserve">Upgraded Token Construction</w:t>
      </w:r>
    </w:p>
    <w:p>
      <w:pPr>
        <w:pStyle w:val="FirstParagraph"/>
      </w:pPr>
      <w:r>
        <w:t xml:space="preserve">An upgraded token can have:</w:t>
      </w:r>
    </w:p>
    <w:p>
      <w:pPr>
        <w:numPr>
          <w:ilvl w:val="0"/>
          <w:numId w:val="1001"/>
        </w:numPr>
        <w:pStyle w:val="Compact"/>
      </w:pPr>
      <w:r>
        <w:t xml:space="preserve">New logic (functions)</w:t>
      </w:r>
    </w:p>
    <w:p>
      <w:pPr>
        <w:numPr>
          <w:ilvl w:val="0"/>
          <w:numId w:val="1001"/>
        </w:numPr>
        <w:pStyle w:val="Compact"/>
      </w:pPr>
      <w:r>
        <w:t xml:space="preserve">New fields (data)</w:t>
      </w:r>
    </w:p>
    <w:p>
      <w:pPr>
        <w:numPr>
          <w:ilvl w:val="0"/>
          <w:numId w:val="1001"/>
        </w:numPr>
        <w:pStyle w:val="Compact"/>
      </w:pPr>
      <w:r>
        <w:t xml:space="preserve">New logic and new fields</w:t>
      </w:r>
    </w:p>
    <w:p>
      <w:pPr>
        <w:pStyle w:val="FirstParagraph"/>
      </w:pPr>
      <w:r>
        <w:t xml:space="preserve">Each situation is addressed in a section below.</w:t>
      </w:r>
    </w:p>
    <w:bookmarkStart w:id="20" w:name="new-logic-only"/>
    <w:p>
      <w:pPr>
        <w:pStyle w:val="Heading3"/>
      </w:pPr>
      <w:r>
        <w:t xml:space="preserve">New Logic Only</w:t>
      </w:r>
    </w:p>
    <w:p>
      <w:pPr>
        <w:pStyle w:val="FirstParagraph"/>
      </w:pPr>
      <w:r>
        <w:t xml:space="preserve">A template for the next upgraded contract for new logic is kept in /contracts</w:t>
      </w:r>
      <w:r>
        <w:t xml:space="preserve"> </w:t>
      </w:r>
      <w:r>
        <w:t xml:space="preserve">with the file name CommodityTokenV[X].sol where X is the version number. The upgraded</w:t>
      </w:r>
      <w:r>
        <w:t xml:space="preserve"> </w:t>
      </w:r>
      <w:r>
        <w:t xml:space="preserve">contract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inherit from the current contract. For example, if upgrading</w:t>
      </w:r>
      <w:r>
        <w:t xml:space="preserve"> </w:t>
      </w:r>
      <w:r>
        <w:t xml:space="preserve">from version 1 to version 2, the contract would have the format:</w:t>
      </w:r>
    </w:p>
    <w:p>
      <w:pPr>
        <w:pStyle w:val="SourceCode"/>
      </w:pPr>
      <w:r>
        <w:rPr>
          <w:rStyle w:val="VerbatimChar"/>
        </w:rPr>
        <w:t xml:space="preserve">import './CommodityTokenV1.sol';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\* @title CommodityTokenV2</w:t>
      </w:r>
      <w:r>
        <w:br/>
      </w:r>
      <w:r>
        <w:rPr>
          <w:rStyle w:val="VerbatimChar"/>
        </w:rPr>
        <w:t xml:space="preserve"> \* @dev ERC20 Token backed by fiat reserves</w:t>
      </w:r>
      <w:r>
        <w:br/>
      </w:r>
      <w:r>
        <w:rPr>
          <w:rStyle w:val="VerbatimChar"/>
        </w:rPr>
        <w:t xml:space="preserve"> **/</w:t>
      </w:r>
      <w:r>
        <w:br/>
      </w:r>
      <w:r>
        <w:rPr>
          <w:rStyle w:val="VerbatimChar"/>
        </w:rPr>
        <w:t xml:space="preserve">contract CommodityTokenV2 is CommodityTokenV1 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All that remains is to add the new logic (functions) as part of the body</w:t>
      </w:r>
      <w:r>
        <w:t xml:space="preserve"> </w:t>
      </w:r>
      <w:r>
        <w:t xml:space="preserve">(denoted by … in the code above) of the contract. Note that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rPr>
          <w:iCs/>
          <w:i/>
        </w:rPr>
        <w:t xml:space="preserve">functions</w:t>
      </w:r>
      <w:r>
        <w:t xml:space="preserve"> </w:t>
      </w:r>
      <w:r>
        <w:t xml:space="preserve">will not be inherited in subsequent contract versions and should be</w:t>
      </w:r>
      <w:r>
        <w:t xml:space="preserve"> </w:t>
      </w:r>
      <w:r>
        <w:t xml:space="preserve">added with care.</w:t>
      </w:r>
    </w:p>
    <w:bookmarkEnd w:id="20"/>
    <w:bookmarkStart w:id="21" w:name="new-fields-only"/>
    <w:p>
      <w:pPr>
        <w:pStyle w:val="Heading3"/>
      </w:pPr>
      <w:r>
        <w:t xml:space="preserve">New Fields Only</w:t>
      </w:r>
    </w:p>
    <w:p>
      <w:pPr>
        <w:pStyle w:val="FirstParagraph"/>
      </w:pPr>
      <w:r>
        <w:t xml:space="preserve">Adding new fields requires inheriting from the prior version of the contract as</w:t>
      </w:r>
      <w:r>
        <w:t xml:space="preserve"> </w:t>
      </w:r>
      <w:r>
        <w:t xml:space="preserve">done in</w:t>
      </w:r>
      <w:r>
        <w:t xml:space="preserve"> </w:t>
      </w:r>
      <w:hyperlink w:anchor="new-logic-only">
        <w:r>
          <w:rPr>
            <w:rStyle w:val="Hyperlink"/>
          </w:rPr>
          <w:t xml:space="preserve">New Logic</w:t>
        </w:r>
      </w:hyperlink>
      <w:r>
        <w:t xml:space="preserve">. In addition, the new contract requires</w:t>
      </w:r>
      <w:r>
        <w:t xml:space="preserve"> </w:t>
      </w:r>
      <w:r>
        <w:t xml:space="preserve">declaring new data fields and, if the data fields must be initialized to</w:t>
      </w:r>
      <w:r>
        <w:t xml:space="preserve"> </w:t>
      </w:r>
      <w:r>
        <w:t xml:space="preserve">non-default values, adding initialization logic for the new fields. New</w:t>
      </w:r>
      <w:r>
        <w:t xml:space="preserve"> </w:t>
      </w:r>
      <w:r>
        <w:t xml:space="preserve">variables added</w:t>
      </w:r>
      <w:r>
        <w:t xml:space="preserve"> </w:t>
      </w:r>
      <w:r>
        <w:rPr>
          <w:iCs/>
          <w:i/>
        </w:rPr>
        <w:t xml:space="preserve">must</w:t>
      </w:r>
      <w:r>
        <w:t xml:space="preserve"> </w:t>
      </w:r>
      <w:r>
        <w:t xml:space="preserve">be declared as type</w:t>
      </w:r>
      <w:r>
        <w:t xml:space="preserve"> </w:t>
      </w:r>
      <w:r>
        <w:rPr>
          <w:rStyle w:val="VerbatimChar"/>
        </w:rPr>
        <w:t xml:space="preserve">internal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t xml:space="preserve">can</w:t>
      </w:r>
      <w:r>
        <w:t xml:space="preserve"> </w:t>
      </w:r>
      <w:r>
        <w:t xml:space="preserve">never be used. Note that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 </w:t>
      </w:r>
      <w:r>
        <w:rPr>
          <w:iCs/>
          <w:i/>
        </w:rPr>
        <w:t xml:space="preserve">functions</w:t>
      </w:r>
      <w:r>
        <w:t xml:space="preserve"> </w:t>
      </w:r>
      <w:r>
        <w:t xml:space="preserve">will also not be inherited in</w:t>
      </w:r>
      <w:r>
        <w:t xml:space="preserve"> </w:t>
      </w:r>
      <w:r>
        <w:t xml:space="preserve">subsequent contract versions and should be added with care. Also note that</w:t>
      </w:r>
      <w:r>
        <w:t xml:space="preserve"> </w:t>
      </w:r>
      <w:r>
        <w:t xml:space="preserve">inline initialization of variables as part of declaration has no effect as the</w:t>
      </w:r>
      <w:r>
        <w:t xml:space="preserve"> </w:t>
      </w:r>
      <w:r>
        <w:t xml:space="preserve">proxy never executes this code (for example, bool public newBool = true is not</w:t>
      </w:r>
      <w:r>
        <w:t xml:space="preserve"> </w:t>
      </w:r>
      <w:r>
        <w:t xml:space="preserve">in fact initialized to true). If possible, new fields should be added that can</w:t>
      </w:r>
      <w:r>
        <w:t xml:space="preserve"> </w:t>
      </w:r>
      <w:r>
        <w:t xml:space="preserve">start with default solidity values and do not need initialization. However, if</w:t>
      </w:r>
      <w:r>
        <w:t xml:space="preserve"> </w:t>
      </w:r>
      <w:r>
        <w:t xml:space="preserve">any new fields require initialization to non-default values, the new token must</w:t>
      </w:r>
      <w:r>
        <w:t xml:space="preserve"> </w:t>
      </w:r>
      <w:r>
        <w:t xml:space="preserve">add an</w:t>
      </w:r>
      <w:r>
        <w:t xml:space="preserve"> </w:t>
      </w:r>
      <w:r>
        <w:rPr>
          <w:iCs/>
          <w:i/>
        </w:rPr>
        <w:t xml:space="preserve">initialize</w:t>
      </w:r>
      <w:r>
        <w:t xml:space="preserve"> </w:t>
      </w:r>
      <w:r>
        <w:t xml:space="preserve">function and a</w:t>
      </w:r>
      <w:r>
        <w:t xml:space="preserve"> </w:t>
      </w:r>
      <w:r>
        <w:rPr>
          <w:iCs/>
          <w:i/>
        </w:rPr>
        <w:t xml:space="preserve">initV[X]</w:t>
      </w:r>
      <w:r>
        <w:t xml:space="preserve"> </w:t>
      </w:r>
      <w:r>
        <w:t xml:space="preserve">function, where X is the version</w:t>
      </w:r>
      <w:r>
        <w:t xml:space="preserve"> </w:t>
      </w:r>
      <w:r>
        <w:t xml:space="preserve">of the contract. The initialization function allows the contract to be deployed</w:t>
      </w:r>
      <w:r>
        <w:t xml:space="preserve"> </w:t>
      </w:r>
      <w:r>
        <w:t xml:space="preserve">from scratch and initialize all variables declared in the new contract and in</w:t>
      </w:r>
      <w:r>
        <w:t xml:space="preserve"> </w:t>
      </w:r>
      <w:r>
        <w:t xml:space="preserve">prior contracts. The initV[X] function allows the contract to initialize only</w:t>
      </w:r>
      <w:r>
        <w:t xml:space="preserve"> </w:t>
      </w:r>
      <w:r>
        <w:t xml:space="preserve">the new variables added in the new contract. A template is shown below for</w:t>
      </w:r>
      <w:r>
        <w:t xml:space="preserve"> </w:t>
      </w:r>
      <w:r>
        <w:t xml:space="preserve">upgrading from version 1 to version 2. In the example, we add variables newBool,</w:t>
      </w:r>
      <w:r>
        <w:t xml:space="preserve"> </w:t>
      </w:r>
      <w:r>
        <w:t xml:space="preserve">newAddress, and newUint, which would be replaced with the real variables added.</w:t>
      </w:r>
    </w:p>
    <w:p>
      <w:pPr>
        <w:pStyle w:val="SourceCode"/>
      </w:pPr>
      <w:r>
        <w:rPr>
          <w:rStyle w:val="VerbatimChar"/>
        </w:rPr>
        <w:t xml:space="preserve">import './CommodityTokenV1.sol';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\* @title CommodityTokenV2</w:t>
      </w:r>
      <w:r>
        <w:br/>
      </w:r>
      <w:r>
        <w:rPr>
          <w:rStyle w:val="VerbatimChar"/>
        </w:rPr>
        <w:t xml:space="preserve"> \* @dev ERC20 Token backed by fiat reserves</w:t>
      </w:r>
      <w:r>
        <w:br/>
      </w:r>
      <w:r>
        <w:rPr>
          <w:rStyle w:val="VerbatimChar"/>
        </w:rPr>
        <w:t xml:space="preserve"> **/</w:t>
      </w:r>
      <w:r>
        <w:br/>
      </w:r>
      <w:r>
        <w:rPr>
          <w:rStyle w:val="VerbatimChar"/>
        </w:rPr>
        <w:t xml:space="preserve">contract CommodityTokenV2 is CommodityTokenV1 {</w:t>
      </w:r>
      <w:r>
        <w:br/>
      </w:r>
      <w:r>
        <w:br/>
      </w:r>
      <w:r>
        <w:rPr>
          <w:rStyle w:val="VerbatimChar"/>
        </w:rPr>
        <w:t xml:space="preserve">  bool public newBool;</w:t>
      </w:r>
      <w:r>
        <w:br/>
      </w:r>
      <w:r>
        <w:rPr>
          <w:rStyle w:val="VerbatimChar"/>
        </w:rPr>
        <w:t xml:space="preserve">  address public newAddress;</w:t>
      </w:r>
      <w:r>
        <w:br/>
      </w:r>
      <w:r>
        <w:rPr>
          <w:rStyle w:val="VerbatimChar"/>
        </w:rPr>
        <w:t xml:space="preserve">  uint256 public newUint;</w:t>
      </w:r>
      <w:r>
        <w:br/>
      </w:r>
      <w:r>
        <w:rPr>
          <w:rStyle w:val="VerbatimChar"/>
        </w:rPr>
        <w:t xml:space="preserve">  bool internal initializedV2;</w:t>
      </w:r>
      <w:r>
        <w:br/>
      </w:r>
      <w:r>
        <w:br/>
      </w:r>
      <w:r>
        <w:rPr>
          <w:rStyle w:val="VerbatimChar"/>
        </w:rPr>
        <w:t xml:space="preserve">  function initialize(</w:t>
      </w:r>
      <w:r>
        <w:br/>
      </w:r>
      <w:r>
        <w:rPr>
          <w:rStyle w:val="VerbatimChar"/>
        </w:rPr>
        <w:t xml:space="preserve">      string _name,</w:t>
      </w:r>
      <w:r>
        <w:br/>
      </w:r>
      <w:r>
        <w:rPr>
          <w:rStyle w:val="VerbatimChar"/>
        </w:rPr>
        <w:t xml:space="preserve">      string _symbol,</w:t>
      </w:r>
      <w:r>
        <w:br/>
      </w:r>
      <w:r>
        <w:rPr>
          <w:rStyle w:val="VerbatimChar"/>
        </w:rPr>
        <w:t xml:space="preserve">      string _currency,</w:t>
      </w:r>
      <w:r>
        <w:br/>
      </w:r>
      <w:r>
        <w:rPr>
          <w:rStyle w:val="VerbatimChar"/>
        </w:rPr>
        <w:t xml:space="preserve">      uint8 _decimals,</w:t>
      </w:r>
      <w:r>
        <w:br/>
      </w:r>
      <w:r>
        <w:rPr>
          <w:rStyle w:val="VerbatimChar"/>
        </w:rPr>
        <w:t xml:space="preserve">      address _masterMinter,</w:t>
      </w:r>
      <w:r>
        <w:br/>
      </w:r>
      <w:r>
        <w:rPr>
          <w:rStyle w:val="VerbatimChar"/>
        </w:rPr>
        <w:t xml:space="preserve">      address _pauser,</w:t>
      </w:r>
      <w:r>
        <w:br/>
      </w:r>
      <w:r>
        <w:rPr>
          <w:rStyle w:val="VerbatimChar"/>
        </w:rPr>
        <w:t xml:space="preserve">      address _blacklister,</w:t>
      </w:r>
      <w:r>
        <w:br/>
      </w:r>
      <w:r>
        <w:rPr>
          <w:rStyle w:val="VerbatimChar"/>
        </w:rPr>
        <w:t xml:space="preserve">      address _owner,</w:t>
      </w:r>
      <w:r>
        <w:br/>
      </w:r>
      <w:r>
        <w:rPr>
          <w:rStyle w:val="VerbatimChar"/>
        </w:rPr>
        <w:t xml:space="preserve">      bool _newBool,</w:t>
      </w:r>
      <w:r>
        <w:br/>
      </w:r>
      <w:r>
        <w:rPr>
          <w:rStyle w:val="VerbatimChar"/>
        </w:rPr>
        <w:t xml:space="preserve">      address _newAddress,</w:t>
      </w:r>
      <w:r>
        <w:br/>
      </w:r>
      <w:r>
        <w:rPr>
          <w:rStyle w:val="VerbatimChar"/>
        </w:rPr>
        <w:t xml:space="preserve">      uint256 _newUint</w:t>
      </w:r>
      <w:r>
        <w:br/>
      </w:r>
      <w:r>
        <w:rPr>
          <w:rStyle w:val="VerbatimChar"/>
        </w:rPr>
        <w:t xml:space="preserve">  ) public {</w:t>
      </w:r>
      <w:r>
        <w:br/>
      </w:r>
      <w:r>
        <w:rPr>
          <w:rStyle w:val="VerbatimChar"/>
        </w:rPr>
        <w:t xml:space="preserve">      super.initialize(_name, _symbol, _currency, _decimals, _masterMinter, _pauser, _blacklister, _owner);</w:t>
      </w:r>
      <w:r>
        <w:br/>
      </w:r>
      <w:r>
        <w:rPr>
          <w:rStyle w:val="VerbatimChar"/>
        </w:rPr>
        <w:t xml:space="preserve">      initV2(_newBool, _newAddress, _newUint);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function initV2(bool _newBool, address _newAddress, uint256 _newUint) public {</w:t>
      </w:r>
      <w:r>
        <w:br/>
      </w:r>
      <w:r>
        <w:rPr>
          <w:rStyle w:val="VerbatimChar"/>
        </w:rPr>
        <w:t xml:space="preserve">      require(!initializedV2);</w:t>
      </w:r>
      <w:r>
        <w:br/>
      </w:r>
      <w:r>
        <w:rPr>
          <w:rStyle w:val="VerbatimChar"/>
        </w:rPr>
        <w:t xml:space="preserve">      newBool = _newBool;</w:t>
      </w:r>
      <w:r>
        <w:br/>
      </w:r>
      <w:r>
        <w:rPr>
          <w:rStyle w:val="VerbatimChar"/>
        </w:rPr>
        <w:t xml:space="preserve">      newAddress = _newAddress;</w:t>
      </w:r>
      <w:r>
        <w:br/>
      </w:r>
      <w:r>
        <w:rPr>
          <w:rStyle w:val="VerbatimChar"/>
        </w:rPr>
        <w:t xml:space="preserve">      newUint = _newUint;</w:t>
      </w:r>
      <w:r>
        <w:br/>
      </w:r>
      <w:r>
        <w:rPr>
          <w:rStyle w:val="VerbatimChar"/>
        </w:rPr>
        <w:t xml:space="preserve">      initializedV2 = true;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rPr>
          <w:iCs/>
          <w:i/>
        </w:rPr>
        <w:t xml:space="preserve">Note the addition of a new initializedV[X] variable that is checked and set in</w:t>
      </w:r>
      <w:r>
        <w:rPr>
          <w:iCs/>
          <w:i/>
        </w:rPr>
        <w:t xml:space="preserve"> </w:t>
      </w:r>
      <w:r>
        <w:rPr>
          <w:iCs/>
          <w:i/>
        </w:rPr>
        <w:t xml:space="preserve">initV[X].</w:t>
      </w:r>
      <w:r>
        <w:t xml:space="preserve"> </w:t>
      </w:r>
      <w:r>
        <w:rPr>
          <w:iCs/>
          <w:i/>
        </w:rPr>
        <w:t xml:space="preserve">Note the structure of initialized that uses a super call with</w:t>
      </w:r>
      <w:r>
        <w:rPr>
          <w:iCs/>
          <w:i/>
        </w:rPr>
        <w:t xml:space="preserve"> </w:t>
      </w:r>
      <w:r>
        <w:rPr>
          <w:iCs/>
          <w:i/>
        </w:rPr>
        <w:t xml:space="preserve">previously set parameters as well as a call to initV[X].</w:t>
      </w:r>
    </w:p>
    <w:bookmarkEnd w:id="21"/>
    <w:bookmarkStart w:id="22" w:name="new-logic-and-new-fields"/>
    <w:p>
      <w:pPr>
        <w:pStyle w:val="Heading3"/>
      </w:pPr>
      <w:r>
        <w:t xml:space="preserve">New Logic and New Fields</w:t>
      </w:r>
    </w:p>
    <w:p>
      <w:pPr>
        <w:pStyle w:val="FirstParagraph"/>
      </w:pPr>
      <w:r>
        <w:t xml:space="preserve">The case requires the same steps as</w:t>
      </w:r>
      <w:r>
        <w:t xml:space="preserve"> </w:t>
      </w:r>
      <w:hyperlink w:anchor="new-fields-only">
        <w:r>
          <w:rPr>
            <w:rStyle w:val="Hyperlink"/>
          </w:rPr>
          <w:t xml:space="preserve">New Fields</w:t>
        </w:r>
      </w:hyperlink>
      <w:r>
        <w:t xml:space="preserve"> </w:t>
      </w:r>
      <w:r>
        <w:t xml:space="preserve">plus the</w:t>
      </w:r>
      <w:r>
        <w:t xml:space="preserve"> </w:t>
      </w:r>
      <w:r>
        <w:t xml:space="preserve">addition of new functions as done in</w:t>
      </w:r>
      <w:r>
        <w:t xml:space="preserve"> </w:t>
      </w:r>
      <w:hyperlink w:anchor="new-logic-only">
        <w:r>
          <w:rPr>
            <w:rStyle w:val="Hyperlink"/>
          </w:rPr>
          <w:t xml:space="preserve">New Logic</w:t>
        </w:r>
      </w:hyperlink>
      <w:r>
        <w:t xml:space="preserve">.</w:t>
      </w:r>
    </w:p>
    <w:bookmarkEnd w:id="22"/>
    <w:bookmarkEnd w:id="23"/>
    <w:bookmarkStart w:id="25" w:name="upgraded-token-deployment"/>
    <w:p>
      <w:pPr>
        <w:pStyle w:val="Heading2"/>
      </w:pPr>
      <w:r>
        <w:t xml:space="preserve">Upgraded Token Deployment</w:t>
      </w:r>
    </w:p>
    <w:p>
      <w:pPr>
        <w:pStyle w:val="FirstParagraph"/>
      </w:pPr>
      <w:r>
        <w:t xml:space="preserve">Deployment can be done in the following steps:</w:t>
      </w:r>
    </w:p>
    <w:p>
      <w:pPr>
        <w:numPr>
          <w:ilvl w:val="0"/>
          <w:numId w:val="1002"/>
        </w:numPr>
        <w:pStyle w:val="Compact"/>
      </w:pPr>
      <w:r>
        <w:t xml:space="preserve">Write any new logic and new fields in the new contract (as described above)</w:t>
      </w:r>
    </w:p>
    <w:p>
      <w:pPr>
        <w:numPr>
          <w:ilvl w:val="0"/>
          <w:numId w:val="1002"/>
        </w:numPr>
        <w:pStyle w:val="Compact"/>
      </w:pPr>
      <w:r>
        <w:t xml:space="preserve">Test any new fields and logic added to the contract (including positive,</w:t>
      </w:r>
      <w:r>
        <w:t xml:space="preserve"> </w:t>
      </w:r>
      <w:r>
        <w:t xml:space="preserve">negative, and extended tests following the current testing strategy)</w:t>
      </w:r>
    </w:p>
    <w:p>
      <w:pPr>
        <w:numPr>
          <w:ilvl w:val="0"/>
          <w:numId w:val="1002"/>
        </w:numPr>
        <w:pStyle w:val="Compact"/>
      </w:pPr>
      <w:r>
        <w:t xml:space="preserve">Ensure the test suite has run on the final version of the new contract with</w:t>
      </w:r>
      <w:r>
        <w:t xml:space="preserve"> </w:t>
      </w:r>
      <w:r>
        <w:t xml:space="preserve">added tests and that the test suite passes with 100% code coverage</w:t>
      </w:r>
    </w:p>
    <w:p>
      <w:pPr>
        <w:numPr>
          <w:ilvl w:val="0"/>
          <w:numId w:val="1002"/>
        </w:numPr>
        <w:pStyle w:val="Compact"/>
      </w:pPr>
      <w:r>
        <w:t xml:space="preserve">Complete any external audits as deemed necessary</w:t>
      </w:r>
    </w:p>
    <w:p>
      <w:pPr>
        <w:numPr>
          <w:ilvl w:val="0"/>
          <w:numId w:val="1002"/>
        </w:numPr>
        <w:pStyle w:val="Compact"/>
      </w:pPr>
      <w:r>
        <w:t xml:space="preserve">Go back to step 1 if any prior step is not completed successfully</w:t>
      </w:r>
    </w:p>
    <w:p>
      <w:pPr>
        <w:numPr>
          <w:ilvl w:val="0"/>
          <w:numId w:val="1002"/>
        </w:numPr>
        <w:pStyle w:val="Compact"/>
      </w:pPr>
      <w:r>
        <w:t xml:space="preserve">Deploy the contract by following</w:t>
      </w:r>
      <w:r>
        <w:t xml:space="preserve"> </w:t>
      </w:r>
      <w:r>
        <w:rPr>
          <w:iCs/>
          <w:i/>
        </w:rPr>
        <w:t xml:space="preserve">Deployment Instructions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section</w:t>
      </w:r>
      <w:r>
        <w:t xml:space="preserve"> </w:t>
      </w:r>
      <w:r>
        <w:rPr>
          <w:iCs/>
          <w:i/>
        </w:rPr>
        <w:t xml:space="preserve">Deploying the implementation contract</w:t>
      </w:r>
      <w:r>
        <w:t xml:space="preserve"> </w:t>
      </w:r>
      <w:hyperlink r:id="rId24">
        <w:r>
          <w:rPr>
            <w:rStyle w:val="Hyperlink"/>
          </w:rPr>
          <w:t xml:space="preserve">instructions</w:t>
        </w:r>
      </w:hyperlink>
      <w:r>
        <w:t xml:space="preserve">. When</w:t>
      </w:r>
      <w:r>
        <w:t xml:space="preserve"> </w:t>
      </w:r>
      <w:r>
        <w:t xml:space="preserve">invoking</w:t>
      </w:r>
      <w:r>
        <w:t xml:space="preserve"> </w:t>
      </w:r>
      <w:r>
        <w:rPr>
          <w:rStyle w:val="VerbatimChar"/>
        </w:rPr>
        <w:t xml:space="preserve">initialize</w:t>
      </w:r>
      <w:r>
        <w:t xml:space="preserve"> </w:t>
      </w:r>
      <w:r>
        <w:t xml:space="preserve">in following deployment instructions, the latest</w:t>
      </w:r>
      <w:r>
        <w:t xml:space="preserve"> </w:t>
      </w:r>
      <w:r>
        <w:t xml:space="preserve">version of</w:t>
      </w:r>
      <w:r>
        <w:t xml:space="preserve"> </w:t>
      </w:r>
      <w:r>
        <w:rPr>
          <w:rStyle w:val="VerbatimChar"/>
        </w:rPr>
        <w:t xml:space="preserve">initialize</w:t>
      </w:r>
      <w:r>
        <w:t xml:space="preserve"> </w:t>
      </w:r>
      <w:r>
        <w:t xml:space="preserve">should be called.</w:t>
      </w:r>
    </w:p>
    <w:bookmarkEnd w:id="25"/>
    <w:bookmarkStart w:id="29" w:name="X5857ee7a7aab6d7443db7b7a54e3bccee43d40b"/>
    <w:p>
      <w:pPr>
        <w:pStyle w:val="Heading2"/>
      </w:pPr>
      <w:r>
        <w:t xml:space="preserve">Upgrading the Proxy to point to the UpgradedToken</w:t>
      </w:r>
    </w:p>
    <w:p>
      <w:pPr>
        <w:pStyle w:val="FirstParagraph"/>
      </w:pPr>
      <w:r>
        <w:t xml:space="preserve">The proxy must be pointed to the new upgraded token. This is accomplished two</w:t>
      </w:r>
      <w:r>
        <w:t xml:space="preserve"> </w:t>
      </w:r>
      <w:r>
        <w:t xml:space="preserve">ways depending on whether only new logic was added or if new fields (and</w:t>
      </w:r>
      <w:r>
        <w:t xml:space="preserve"> </w:t>
      </w:r>
      <w:r>
        <w:t xml:space="preserve">possibly new logic) were added.</w:t>
      </w:r>
    </w:p>
    <w:bookmarkStart w:id="26" w:name="upgrading-if-only-new-logic-added"/>
    <w:p>
      <w:pPr>
        <w:pStyle w:val="Heading3"/>
      </w:pPr>
      <w:r>
        <w:t xml:space="preserve">Upgrading if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New Logic Added</w:t>
      </w:r>
    </w:p>
    <w:p>
      <w:pPr>
        <w:numPr>
          <w:ilvl w:val="0"/>
          <w:numId w:val="1003"/>
        </w:numPr>
        <w:pStyle w:val="Compact"/>
      </w:pPr>
      <w:r>
        <w:t xml:space="preserve">Prepare an upgradeTo transaction from the adminAccount parameterized with the</w:t>
      </w:r>
      <w:r>
        <w:t xml:space="preserve"> </w:t>
      </w:r>
      <w:r>
        <w:t xml:space="preserve">address of the new upgraded token.</w:t>
      </w:r>
    </w:p>
    <w:p>
      <w:pPr>
        <w:numPr>
          <w:ilvl w:val="0"/>
          <w:numId w:val="1003"/>
        </w:numPr>
        <w:pStyle w:val="Compact"/>
      </w:pPr>
      <w:r>
        <w:t xml:space="preserve">Broadcast the transaction</w:t>
      </w:r>
    </w:p>
    <w:p>
      <w:pPr>
        <w:numPr>
          <w:ilvl w:val="0"/>
          <w:numId w:val="1003"/>
        </w:numPr>
        <w:pStyle w:val="Compact"/>
      </w:pPr>
      <w:r>
        <w:t xml:space="preserve">Check that the implementation field of the proxy matches the address of the</w:t>
      </w:r>
      <w:r>
        <w:t xml:space="preserve"> </w:t>
      </w:r>
      <w:r>
        <w:t xml:space="preserve">upgraded token by calling web3.eth.getStorageAt(proxy.address, implSlot),</w:t>
      </w:r>
      <w:r>
        <w:t xml:space="preserve"> </w:t>
      </w:r>
      <w:r>
        <w:t xml:space="preserve">where implSlot is defined in the contract as a hardcoded field. As of TypeX</w:t>
      </w:r>
      <w:r>
        <w:t xml:space="preserve"> </w:t>
      </w:r>
      <w:r>
        <w:t xml:space="preserve">Commodity Token v1.0.0 that slot is</w:t>
      </w:r>
      <w:r>
        <w:t xml:space="preserve"> </w:t>
      </w:r>
      <w:r>
        <w:t xml:space="preserve">0x10d6a54a4754c8869d6886b5f5d7fbfa5b4522237ea5c60d11bc4e7a1ff9390b.</w:t>
      </w:r>
      <w:r>
        <w:t xml:space="preserve"> </w:t>
      </w:r>
      <w:r>
        <w:t xml:space="preserve">Alternatively, getImplementation may be called on the proxy with the</w:t>
      </w:r>
      <w:r>
        <w:t xml:space="preserve"> </w:t>
      </w:r>
      <w:r>
        <w:t xml:space="preserve">adminAccount.</w:t>
      </w:r>
    </w:p>
    <w:p>
      <w:pPr>
        <w:numPr>
          <w:ilvl w:val="0"/>
          <w:numId w:val="1003"/>
        </w:numPr>
        <w:pStyle w:val="Compact"/>
      </w:pPr>
      <w:r>
        <w:t xml:space="preserve">If the address in 3) does not match, it is likely a wrong address was used.</w:t>
      </w:r>
      <w:r>
        <w:t xml:space="preserve"> </w:t>
      </w:r>
      <w:r>
        <w:t xml:space="preserve">Repeat the process from step 1).</w:t>
      </w:r>
    </w:p>
    <w:bookmarkEnd w:id="26"/>
    <w:bookmarkStart w:id="28" w:name="X879d3d9b1f744d8b929cb9e373b4478355fc466"/>
    <w:p>
      <w:pPr>
        <w:pStyle w:val="Heading3"/>
      </w:pPr>
      <w:r>
        <w:t xml:space="preserve">Upgrading if New Fields (and possibly new Logic) Added</w:t>
      </w:r>
    </w:p>
    <w:p>
      <w:pPr>
        <w:numPr>
          <w:ilvl w:val="0"/>
          <w:numId w:val="1004"/>
        </w:numPr>
        <w:pStyle w:val="Compact"/>
      </w:pPr>
      <w:r>
        <w:t xml:space="preserve">Prepare an upgradeToAndCall transaction from the adminAccount parameterized</w:t>
      </w:r>
      <w:r>
        <w:t xml:space="preserve"> </w:t>
      </w:r>
      <w:r>
        <w:t xml:space="preserve">with the address of the new upgraded token and an internal call to invoke</w:t>
      </w:r>
      <w:r>
        <w:t xml:space="preserve"> </w:t>
      </w:r>
      <w:r>
        <w:t xml:space="preserve">initV[X] with the new data fields.</w:t>
      </w:r>
    </w:p>
    <w:p>
      <w:pPr>
        <w:numPr>
          <w:ilvl w:val="0"/>
          <w:numId w:val="1004"/>
        </w:numPr>
        <w:pStyle w:val="Compact"/>
      </w:pPr>
      <w:r>
        <w:t xml:space="preserve">Broadcast the transaction</w:t>
      </w:r>
    </w:p>
    <w:p>
      <w:pPr>
        <w:numPr>
          <w:ilvl w:val="0"/>
          <w:numId w:val="1004"/>
        </w:numPr>
        <w:pStyle w:val="Compact"/>
      </w:pPr>
      <w:r>
        <w:t xml:space="preserve">Check that the implementation field of the proxy matches the address of the</w:t>
      </w:r>
      <w:r>
        <w:t xml:space="preserve"> </w:t>
      </w:r>
      <w:r>
        <w:t xml:space="preserve">upgraded token by calling web3.eth.getStorageAt(proxy.address, implSlot),</w:t>
      </w:r>
      <w:r>
        <w:t xml:space="preserve"> </w:t>
      </w:r>
      <w:r>
        <w:t xml:space="preserve">where implSlot is defined in the contract as a hardcoded field. As of TypeX</w:t>
      </w:r>
      <w:r>
        <w:t xml:space="preserve"> </w:t>
      </w:r>
      <w:r>
        <w:t xml:space="preserve">Commodity Token v1.0.0 that slot is</w:t>
      </w:r>
      <w:r>
        <w:t xml:space="preserve"> </w:t>
      </w:r>
      <w:r>
        <w:t xml:space="preserve">0x10d6a54a4754c8869d6886b5f5d7fbfa5b4522237ea5c60d11bc4e7a1ff9390b.</w:t>
      </w:r>
      <w:r>
        <w:t xml:space="preserve"> </w:t>
      </w:r>
      <w:r>
        <w:t xml:space="preserve">Alternatively, getImplementation may be called on the proxy with the admin</w:t>
      </w:r>
      <w:r>
        <w:t xml:space="preserve"> </w:t>
      </w:r>
      <w:r>
        <w:t xml:space="preserve">account.</w:t>
      </w:r>
    </w:p>
    <w:p>
      <w:pPr>
        <w:numPr>
          <w:ilvl w:val="0"/>
          <w:numId w:val="1004"/>
        </w:numPr>
        <w:pStyle w:val="Compact"/>
      </w:pPr>
      <w:r>
        <w:t xml:space="preserve">If the address in 3) does not match, it is likely a wrong address was used.</w:t>
      </w:r>
      <w:r>
        <w:t xml:space="preserve"> </w:t>
      </w:r>
      <w:r>
        <w:t xml:space="preserve">Repeat the process from step 1).</w:t>
      </w:r>
    </w:p>
    <w:p>
      <w:pPr>
        <w:numPr>
          <w:ilvl w:val="0"/>
          <w:numId w:val="1004"/>
        </w:numPr>
        <w:pStyle w:val="Compact"/>
      </w:pPr>
      <w:r>
        <w:t xml:space="preserve">Verify that the new fields were set correctly as done in</w:t>
      </w:r>
      <w:r>
        <w:t xml:space="preserve"> </w:t>
      </w:r>
      <w:r>
        <w:rPr>
          <w:iCs/>
          <w:i/>
        </w:rPr>
        <w:t xml:space="preserve">Deployment</w:t>
      </w:r>
      <w:r>
        <w:rPr>
          <w:iCs/>
          <w:i/>
        </w:rPr>
        <w:t xml:space="preserve"> </w:t>
      </w:r>
      <w:r>
        <w:rPr>
          <w:iCs/>
          <w:i/>
        </w:rPr>
        <w:t xml:space="preserve">Instructions</w:t>
      </w:r>
      <w:r>
        <w:t xml:space="preserve"> </w:t>
      </w:r>
      <w:hyperlink r:id="rId27">
        <w:r>
          <w:rPr>
            <w:rStyle w:val="Hyperlink"/>
          </w:rPr>
          <w:t xml:space="preserve">verification</w:t>
        </w:r>
      </w:hyperlink>
    </w:p>
    <w:p>
      <w:pPr>
        <w:numPr>
          <w:ilvl w:val="0"/>
          <w:numId w:val="1004"/>
        </w:numPr>
        <w:pStyle w:val="Compact"/>
      </w:pPr>
      <w:r>
        <w:t xml:space="preserve">If verification fails, restart the process from step 1)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eployment.md" TargetMode="External" /><Relationship Type="http://schemas.openxmlformats.org/officeDocument/2006/relationships/hyperlink" Id="rId24" Target="deployment.md#Deploying-the-implementation-contrac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deployment.md" TargetMode="External" /><Relationship Type="http://schemas.openxmlformats.org/officeDocument/2006/relationships/hyperlink" Id="rId24" Target="deployment.md#Deploying-the-implementation-contrac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2021-11-30T23:48:04Z</dcterms:created>
  <dcterms:modified xsi:type="dcterms:W3CDTF">2021-11-30T23:48:04Z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