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B056E" w14:textId="62AA08A3" w:rsidR="008D0B22" w:rsidRPr="008D0B22" w:rsidRDefault="008D0B22" w:rsidP="008D0B22">
      <w:pPr>
        <w:pStyle w:val="NormalWeb"/>
        <w:spacing w:before="0" w:beforeAutospacing="0" w:after="0" w:afterAutospacing="0"/>
        <w:jc w:val="center"/>
        <w:rPr>
          <w:rFonts w:asciiTheme="majorHAnsi" w:hAnsiTheme="majorHAnsi" w:cstheme="majorHAnsi"/>
          <w:b/>
          <w:sz w:val="28"/>
        </w:rPr>
      </w:pPr>
      <w:r w:rsidRPr="008D0B22">
        <w:rPr>
          <w:rFonts w:asciiTheme="majorHAnsi" w:hAnsiTheme="majorHAnsi" w:cstheme="majorHAnsi"/>
          <w:b/>
          <w:sz w:val="28"/>
        </w:rPr>
        <w:t>Development of Genomic Resources for Management of Verticillium wilt of Potato</w:t>
      </w:r>
    </w:p>
    <w:p w14:paraId="78C26FCA" w14:textId="440CF237" w:rsidR="008D0B22" w:rsidRPr="008D0B22" w:rsidRDefault="008D0B22" w:rsidP="008D0B22">
      <w:pPr>
        <w:jc w:val="center"/>
        <w:rPr>
          <w:rFonts w:asciiTheme="majorHAnsi" w:hAnsiTheme="majorHAnsi" w:cstheme="majorHAnsi"/>
          <w:bCs/>
        </w:rPr>
      </w:pPr>
      <w:r w:rsidRPr="008D0B22">
        <w:rPr>
          <w:rFonts w:asciiTheme="majorHAnsi" w:hAnsiTheme="majorHAnsi" w:cstheme="majorHAnsi"/>
          <w:bCs/>
        </w:rPr>
        <w:t>Final</w:t>
      </w:r>
      <w:r w:rsidRPr="008D0B22">
        <w:rPr>
          <w:rFonts w:asciiTheme="majorHAnsi" w:hAnsiTheme="majorHAnsi" w:cstheme="majorHAnsi"/>
          <w:bCs/>
        </w:rPr>
        <w:t xml:space="preserve"> report for Northwest Potato Research Consortium</w:t>
      </w:r>
    </w:p>
    <w:p w14:paraId="301A3726" w14:textId="102EECDA" w:rsidR="008D0B22" w:rsidRPr="008D0B22" w:rsidRDefault="008D0B22" w:rsidP="00074308">
      <w:pPr>
        <w:pStyle w:val="NormalWeb"/>
        <w:spacing w:before="0" w:beforeAutospacing="0" w:after="0" w:afterAutospacing="0"/>
        <w:rPr>
          <w:rFonts w:asciiTheme="majorHAnsi" w:hAnsiTheme="majorHAnsi" w:cstheme="majorHAnsi"/>
          <w:b/>
          <w:color w:val="0E101A"/>
        </w:rPr>
      </w:pPr>
      <w:r w:rsidRPr="008D0B22">
        <w:rPr>
          <w:rFonts w:asciiTheme="majorHAnsi" w:hAnsiTheme="majorHAnsi" w:cstheme="majorHAnsi"/>
          <w:b/>
          <w:bCs/>
        </w:rPr>
        <w:t xml:space="preserve">Principle investigators: </w:t>
      </w:r>
      <w:r w:rsidRPr="008D0B22">
        <w:rPr>
          <w:rFonts w:asciiTheme="majorHAnsi" w:hAnsiTheme="majorHAnsi" w:cstheme="majorHAnsi"/>
        </w:rPr>
        <w:t>David Linnard Wheeler &amp; Jeremiah Kam Sung Dung</w:t>
      </w:r>
    </w:p>
    <w:p w14:paraId="1944D1A1" w14:textId="6375CE93" w:rsidR="008D0B22" w:rsidRPr="008D0B22" w:rsidRDefault="008D0B22" w:rsidP="00074308">
      <w:pPr>
        <w:pStyle w:val="NormalWeb"/>
        <w:spacing w:before="0" w:beforeAutospacing="0" w:after="0" w:afterAutospacing="0"/>
        <w:rPr>
          <w:rFonts w:asciiTheme="majorHAnsi" w:hAnsiTheme="majorHAnsi" w:cstheme="majorHAnsi"/>
          <w:color w:val="0E101A"/>
        </w:rPr>
      </w:pPr>
      <w:r w:rsidRPr="008D0B22">
        <w:rPr>
          <w:rFonts w:asciiTheme="majorHAnsi" w:hAnsiTheme="majorHAnsi" w:cstheme="majorHAnsi"/>
          <w:color w:val="0E101A"/>
        </w:rPr>
        <w:t xml:space="preserve">Reporting period: </w:t>
      </w:r>
      <w:r w:rsidRPr="008D0B22">
        <w:rPr>
          <w:rFonts w:asciiTheme="majorHAnsi" w:hAnsiTheme="majorHAnsi" w:cstheme="majorHAnsi"/>
          <w:color w:val="0E101A"/>
          <w:highlight w:val="yellow"/>
        </w:rPr>
        <w:t>March 1, 2020 to February 15, 2021</w:t>
      </w:r>
    </w:p>
    <w:p w14:paraId="3982BDFC" w14:textId="77777777" w:rsidR="008D0B22" w:rsidRPr="008D0B22" w:rsidRDefault="008D0B22" w:rsidP="00074308">
      <w:pPr>
        <w:pStyle w:val="NormalWeb"/>
        <w:spacing w:before="0" w:beforeAutospacing="0" w:after="0" w:afterAutospacing="0"/>
        <w:rPr>
          <w:rFonts w:asciiTheme="majorHAnsi" w:hAnsiTheme="majorHAnsi" w:cstheme="majorHAnsi"/>
          <w:color w:val="0E101A"/>
        </w:rPr>
      </w:pPr>
    </w:p>
    <w:p w14:paraId="2DD17210" w14:textId="51F6DB79" w:rsidR="008D0B22" w:rsidRDefault="008D0B22" w:rsidP="008D0B22">
      <w:pPr>
        <w:rPr>
          <w:rFonts w:asciiTheme="majorHAnsi" w:hAnsiTheme="majorHAnsi" w:cstheme="majorHAnsi"/>
          <w:b/>
          <w:bCs/>
          <w:noProof/>
          <w:sz w:val="24"/>
          <w:szCs w:val="24"/>
        </w:rPr>
      </w:pPr>
      <w:r w:rsidRPr="008D0B22">
        <w:rPr>
          <w:rFonts w:asciiTheme="majorHAnsi" w:hAnsiTheme="majorHAnsi" w:cstheme="majorHAnsi"/>
          <w:b/>
          <w:bCs/>
          <w:noProof/>
          <w:sz w:val="24"/>
          <w:szCs w:val="24"/>
        </w:rPr>
        <w:t>ACCOMPLISHMENTS:</w:t>
      </w:r>
    </w:p>
    <w:p w14:paraId="064E82A2" w14:textId="77777777" w:rsidR="008D0B22" w:rsidRPr="008D0B22" w:rsidRDefault="008D0B22" w:rsidP="008D0B22">
      <w:pPr>
        <w:rPr>
          <w:rFonts w:asciiTheme="majorHAnsi" w:hAnsiTheme="majorHAnsi" w:cstheme="majorHAnsi"/>
          <w:b/>
          <w:bCs/>
          <w:noProof/>
          <w:sz w:val="24"/>
          <w:szCs w:val="24"/>
        </w:rPr>
      </w:pPr>
    </w:p>
    <w:p w14:paraId="65D24EEC" w14:textId="0CF633E2" w:rsidR="008D0B22" w:rsidRPr="008D0B22" w:rsidRDefault="008D0B22" w:rsidP="008D0B2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rPr>
          <w:rFonts w:asciiTheme="majorHAnsi" w:hAnsiTheme="majorHAnsi" w:cstheme="majorHAnsi"/>
          <w:b/>
          <w:sz w:val="24"/>
          <w:szCs w:val="24"/>
        </w:rPr>
      </w:pPr>
      <w:r w:rsidRPr="008D0B22">
        <w:rPr>
          <w:rFonts w:asciiTheme="majorHAnsi" w:hAnsiTheme="majorHAnsi" w:cstheme="majorHAnsi"/>
          <w:b/>
          <w:sz w:val="24"/>
          <w:szCs w:val="24"/>
        </w:rPr>
        <w:t>PROCEDURES:</w:t>
      </w:r>
    </w:p>
    <w:p w14:paraId="329EFE0D" w14:textId="15E0A2CD" w:rsidR="00074308" w:rsidRPr="008D0B22" w:rsidRDefault="00074308" w:rsidP="00074308">
      <w:pPr>
        <w:pStyle w:val="NormalWeb"/>
        <w:spacing w:before="0" w:beforeAutospacing="0" w:after="0" w:afterAutospacing="0"/>
        <w:rPr>
          <w:rFonts w:asciiTheme="majorHAnsi" w:hAnsiTheme="majorHAnsi" w:cstheme="majorHAnsi"/>
          <w:b/>
          <w:color w:val="0E101A"/>
        </w:rPr>
      </w:pPr>
      <w:r w:rsidRPr="008D0B22">
        <w:rPr>
          <w:rFonts w:asciiTheme="majorHAnsi" w:hAnsiTheme="majorHAnsi" w:cstheme="majorHAnsi"/>
          <w:b/>
          <w:color w:val="0E101A"/>
        </w:rPr>
        <w:t>Sample collection:</w:t>
      </w:r>
    </w:p>
    <w:p w14:paraId="188508C0" w14:textId="77777777" w:rsidR="00074308" w:rsidRPr="008D0B22" w:rsidRDefault="00074308" w:rsidP="00074308">
      <w:pPr>
        <w:pStyle w:val="NormalWeb"/>
        <w:spacing w:before="0" w:beforeAutospacing="0" w:after="0" w:afterAutospacing="0"/>
        <w:rPr>
          <w:rFonts w:asciiTheme="majorHAnsi" w:hAnsiTheme="majorHAnsi" w:cstheme="majorHAnsi"/>
          <w:color w:val="0E101A"/>
        </w:rPr>
      </w:pPr>
      <w:r w:rsidRPr="008D0B22">
        <w:rPr>
          <w:rFonts w:asciiTheme="majorHAnsi" w:hAnsiTheme="majorHAnsi" w:cstheme="majorHAnsi"/>
          <w:color w:val="0E101A"/>
        </w:rPr>
        <w:t>The potato (cv. Russet Burbank) and brown mustard (cv. ISCI 99) plants were planted in the greenhouse and inoculated with two strains (Vd-653 and Vd-111) of </w:t>
      </w:r>
      <w:r w:rsidRPr="008D0B22">
        <w:rPr>
          <w:rStyle w:val="Emphasis"/>
          <w:rFonts w:asciiTheme="majorHAnsi" w:hAnsiTheme="majorHAnsi" w:cstheme="majorHAnsi"/>
          <w:color w:val="0E101A"/>
        </w:rPr>
        <w:t xml:space="preserve">V. </w:t>
      </w:r>
      <w:proofErr w:type="spellStart"/>
      <w:r w:rsidRPr="008D0B22">
        <w:rPr>
          <w:rStyle w:val="Emphasis"/>
          <w:rFonts w:asciiTheme="majorHAnsi" w:hAnsiTheme="majorHAnsi" w:cstheme="majorHAnsi"/>
          <w:color w:val="0E101A"/>
        </w:rPr>
        <w:t>dahliae</w:t>
      </w:r>
      <w:proofErr w:type="spellEnd"/>
      <w:r w:rsidRPr="008D0B22">
        <w:rPr>
          <w:rFonts w:asciiTheme="majorHAnsi" w:hAnsiTheme="majorHAnsi" w:cstheme="majorHAnsi"/>
          <w:color w:val="0E101A"/>
        </w:rPr>
        <w:t xml:space="preserve"> (Fig. 1A-D). Ten days after pathogen inoculation, plants were destructively sampled and flash frozen in liquid nitrogen. The collected plant samples were stored in -80C for 10 days and lyophilized for 48 hours. </w:t>
      </w:r>
      <w:bookmarkStart w:id="0" w:name="_GoBack"/>
      <w:bookmarkEnd w:id="0"/>
    </w:p>
    <w:p w14:paraId="42AD60ED" w14:textId="77777777" w:rsidR="00074308" w:rsidRPr="008D0B22" w:rsidRDefault="00074308" w:rsidP="00074308">
      <w:pPr>
        <w:pStyle w:val="NormalWeb"/>
        <w:spacing w:before="0" w:beforeAutospacing="0" w:after="0" w:afterAutospacing="0"/>
        <w:rPr>
          <w:rFonts w:asciiTheme="majorHAnsi" w:hAnsiTheme="majorHAnsi" w:cstheme="majorHAnsi"/>
          <w:color w:val="0E101A"/>
        </w:rPr>
      </w:pPr>
    </w:p>
    <w:p w14:paraId="106C4043" w14:textId="77777777" w:rsidR="00074308" w:rsidRPr="008D0B22" w:rsidRDefault="00074308" w:rsidP="00074308">
      <w:pPr>
        <w:pStyle w:val="NormalWeb"/>
        <w:spacing w:before="0" w:beforeAutospacing="0" w:after="0" w:afterAutospacing="0"/>
        <w:rPr>
          <w:rFonts w:asciiTheme="majorHAnsi" w:hAnsiTheme="majorHAnsi" w:cstheme="majorHAnsi"/>
          <w:b/>
          <w:color w:val="0E101A"/>
        </w:rPr>
      </w:pPr>
      <w:r w:rsidRPr="008D0B22">
        <w:rPr>
          <w:rFonts w:asciiTheme="majorHAnsi" w:hAnsiTheme="majorHAnsi" w:cstheme="majorHAnsi"/>
          <w:b/>
          <w:color w:val="0E101A"/>
        </w:rPr>
        <w:t>RNA Extraction and cDNA synthesis:</w:t>
      </w:r>
    </w:p>
    <w:p w14:paraId="23EA0DDA" w14:textId="77777777" w:rsidR="00074308" w:rsidRPr="008D0B22" w:rsidRDefault="00074308" w:rsidP="00074308">
      <w:pPr>
        <w:pStyle w:val="NormalWeb"/>
        <w:spacing w:before="0" w:beforeAutospacing="0" w:after="0" w:afterAutospacing="0"/>
        <w:rPr>
          <w:rFonts w:asciiTheme="majorHAnsi" w:hAnsiTheme="majorHAnsi" w:cstheme="majorHAnsi"/>
          <w:color w:val="0E101A"/>
        </w:rPr>
      </w:pPr>
      <w:r w:rsidRPr="008D0B22">
        <w:rPr>
          <w:rFonts w:asciiTheme="majorHAnsi" w:hAnsiTheme="majorHAnsi" w:cstheme="majorHAnsi"/>
          <w:color w:val="0E101A"/>
        </w:rPr>
        <w:t xml:space="preserve">Total RNA was extracted from all collected with the method described by Kumar et al. 2007. To avoid genomic DNA contamination total RNA was digested with </w:t>
      </w:r>
      <w:proofErr w:type="spellStart"/>
      <w:r w:rsidRPr="008D0B22">
        <w:rPr>
          <w:rFonts w:asciiTheme="majorHAnsi" w:hAnsiTheme="majorHAnsi" w:cstheme="majorHAnsi"/>
          <w:color w:val="0E101A"/>
        </w:rPr>
        <w:t>Ambion</w:t>
      </w:r>
      <w:proofErr w:type="spellEnd"/>
      <w:r w:rsidRPr="008D0B22">
        <w:rPr>
          <w:rFonts w:asciiTheme="majorHAnsi" w:hAnsiTheme="majorHAnsi" w:cstheme="majorHAnsi"/>
          <w:color w:val="0E101A"/>
        </w:rPr>
        <w:t xml:space="preserve"> </w:t>
      </w:r>
      <w:proofErr w:type="spellStart"/>
      <w:r w:rsidRPr="008D0B22">
        <w:rPr>
          <w:rFonts w:asciiTheme="majorHAnsi" w:hAnsiTheme="majorHAnsi" w:cstheme="majorHAnsi"/>
          <w:color w:val="0E101A"/>
        </w:rPr>
        <w:t>DNAse</w:t>
      </w:r>
      <w:proofErr w:type="spellEnd"/>
      <w:r w:rsidRPr="008D0B22">
        <w:rPr>
          <w:rFonts w:asciiTheme="majorHAnsi" w:hAnsiTheme="majorHAnsi" w:cstheme="majorHAnsi"/>
          <w:color w:val="0E101A"/>
        </w:rPr>
        <w:t xml:space="preserve"> I (RNase-free) (Invitrogen). Quantification of total RNA was completed with a QUBIT fluorometer (Life Technologies) and integrity was assessed by gel electrophoresis. The quantities of total RNA in the samples ranged from 700-900 ng/µl. RNA samples free from genomic DNA and with two clear bands representing 28S and 18S ribosomal RNA were used for the cDNA synthesis. (Fig. 1E). cDNA was synthesized from 1 µg of total RNA in 20µl reaction volume using </w:t>
      </w:r>
      <w:proofErr w:type="spellStart"/>
      <w:r w:rsidRPr="008D0B22">
        <w:rPr>
          <w:rFonts w:asciiTheme="majorHAnsi" w:hAnsiTheme="majorHAnsi" w:cstheme="majorHAnsi"/>
          <w:color w:val="0E101A"/>
        </w:rPr>
        <w:t>qScript</w:t>
      </w:r>
      <w:r w:rsidRPr="008D0B22">
        <w:rPr>
          <w:rFonts w:asciiTheme="majorHAnsi" w:hAnsiTheme="majorHAnsi" w:cstheme="majorHAnsi"/>
          <w:color w:val="0E101A"/>
          <w:vertAlign w:val="superscript"/>
        </w:rPr>
        <w:t>TM</w:t>
      </w:r>
      <w:proofErr w:type="spellEnd"/>
      <w:r w:rsidRPr="008D0B22">
        <w:rPr>
          <w:rFonts w:asciiTheme="majorHAnsi" w:hAnsiTheme="majorHAnsi" w:cstheme="majorHAnsi"/>
          <w:color w:val="0E101A"/>
        </w:rPr>
        <w:t xml:space="preserve"> cDNA </w:t>
      </w:r>
      <w:proofErr w:type="spellStart"/>
      <w:r w:rsidRPr="008D0B22">
        <w:rPr>
          <w:rFonts w:asciiTheme="majorHAnsi" w:hAnsiTheme="majorHAnsi" w:cstheme="majorHAnsi"/>
          <w:color w:val="0E101A"/>
        </w:rPr>
        <w:t>SuperMIX</w:t>
      </w:r>
      <w:proofErr w:type="spellEnd"/>
      <w:r w:rsidRPr="008D0B22">
        <w:rPr>
          <w:rFonts w:asciiTheme="majorHAnsi" w:hAnsiTheme="majorHAnsi" w:cstheme="majorHAnsi"/>
          <w:color w:val="0E101A"/>
        </w:rPr>
        <w:t xml:space="preserve"> (</w:t>
      </w:r>
      <w:proofErr w:type="spellStart"/>
      <w:r w:rsidRPr="008D0B22">
        <w:rPr>
          <w:rFonts w:asciiTheme="majorHAnsi" w:hAnsiTheme="majorHAnsi" w:cstheme="majorHAnsi"/>
          <w:color w:val="0E101A"/>
        </w:rPr>
        <w:t>QuantaBio</w:t>
      </w:r>
      <w:proofErr w:type="spellEnd"/>
      <w:r w:rsidRPr="008D0B22">
        <w:rPr>
          <w:rFonts w:asciiTheme="majorHAnsi" w:hAnsiTheme="majorHAnsi" w:cstheme="majorHAnsi"/>
          <w:color w:val="0E101A"/>
        </w:rPr>
        <w:t xml:space="preserve">) following manufacturer’s instructions. The cDNA was diluted 1:5 in ultrapure water for potato and mustard samples and 1:2 for Verticillium </w:t>
      </w:r>
      <w:proofErr w:type="spellStart"/>
      <w:r w:rsidRPr="008D0B22">
        <w:rPr>
          <w:rFonts w:asciiTheme="majorHAnsi" w:hAnsiTheme="majorHAnsi" w:cstheme="majorHAnsi"/>
          <w:color w:val="0E101A"/>
        </w:rPr>
        <w:t>dahliae</w:t>
      </w:r>
      <w:proofErr w:type="spellEnd"/>
      <w:r w:rsidRPr="008D0B22">
        <w:rPr>
          <w:rFonts w:asciiTheme="majorHAnsi" w:hAnsiTheme="majorHAnsi" w:cstheme="majorHAnsi"/>
          <w:color w:val="0E101A"/>
        </w:rPr>
        <w:t xml:space="preserve"> samples and stored at -20C</w:t>
      </w:r>
      <w:commentRangeStart w:id="1"/>
      <w:r w:rsidRPr="008D0B22">
        <w:rPr>
          <w:rFonts w:asciiTheme="majorHAnsi" w:hAnsiTheme="majorHAnsi" w:cstheme="majorHAnsi"/>
          <w:color w:val="0E101A"/>
        </w:rPr>
        <w:t>. For gene validation</w:t>
      </w:r>
      <w:commentRangeEnd w:id="1"/>
      <w:r w:rsidRPr="008D0B22">
        <w:rPr>
          <w:rStyle w:val="CommentReference"/>
          <w:rFonts w:asciiTheme="majorHAnsi" w:eastAsiaTheme="minorHAnsi" w:hAnsiTheme="majorHAnsi" w:cstheme="majorHAnsi"/>
        </w:rPr>
        <w:commentReference w:id="1"/>
      </w:r>
      <w:r w:rsidRPr="008D0B22">
        <w:rPr>
          <w:rFonts w:asciiTheme="majorHAnsi" w:hAnsiTheme="majorHAnsi" w:cstheme="majorHAnsi"/>
          <w:color w:val="0E101A"/>
        </w:rPr>
        <w:t xml:space="preserve">, primers spanning exon-exon junction, were designed for each gene with NCBI primer design software (Table). Primers with 19-23 bp size, GC content ranged between 40-60% and amplicon size of 70-180 bp were used.  </w:t>
      </w:r>
    </w:p>
    <w:p w14:paraId="652230EC" w14:textId="77777777" w:rsidR="00074308" w:rsidRPr="008D0B22" w:rsidRDefault="00074308" w:rsidP="00074308">
      <w:pPr>
        <w:pStyle w:val="NormalWeb"/>
        <w:spacing w:before="0" w:beforeAutospacing="0" w:after="0" w:afterAutospacing="0"/>
        <w:rPr>
          <w:rFonts w:asciiTheme="majorHAnsi" w:hAnsiTheme="majorHAnsi" w:cstheme="majorHAnsi"/>
          <w:color w:val="0E101A"/>
        </w:rPr>
      </w:pPr>
    </w:p>
    <w:p w14:paraId="6BBBA792" w14:textId="77777777" w:rsidR="00074308" w:rsidRPr="008D0B22" w:rsidRDefault="00074308" w:rsidP="00074308">
      <w:pPr>
        <w:pStyle w:val="NormalWeb"/>
        <w:spacing w:before="0" w:beforeAutospacing="0" w:after="0" w:afterAutospacing="0"/>
        <w:rPr>
          <w:rFonts w:asciiTheme="majorHAnsi" w:hAnsiTheme="majorHAnsi" w:cstheme="majorHAnsi"/>
          <w:b/>
          <w:color w:val="0E101A"/>
        </w:rPr>
      </w:pPr>
      <w:r w:rsidRPr="008D0B22">
        <w:rPr>
          <w:rFonts w:asciiTheme="majorHAnsi" w:hAnsiTheme="majorHAnsi" w:cstheme="majorHAnsi"/>
          <w:b/>
          <w:color w:val="0E101A"/>
        </w:rPr>
        <w:t>Quantitative real-time PCR:</w:t>
      </w:r>
    </w:p>
    <w:p w14:paraId="19188414" w14:textId="77777777" w:rsidR="00074308" w:rsidRPr="008D0B22" w:rsidRDefault="00074308" w:rsidP="00074308">
      <w:pPr>
        <w:pStyle w:val="NormalWeb"/>
        <w:spacing w:before="0" w:beforeAutospacing="0" w:after="0" w:afterAutospacing="0"/>
        <w:rPr>
          <w:rFonts w:asciiTheme="majorHAnsi" w:hAnsiTheme="majorHAnsi" w:cstheme="majorHAnsi"/>
          <w:color w:val="0E101A"/>
        </w:rPr>
      </w:pPr>
      <w:r w:rsidRPr="008D0B22">
        <w:rPr>
          <w:rFonts w:asciiTheme="majorHAnsi" w:hAnsiTheme="majorHAnsi" w:cstheme="majorHAnsi"/>
          <w:color w:val="0E101A"/>
        </w:rPr>
        <w:t xml:space="preserve">RT-qPCR experiments were performed in a QuantStudio3 (Applied </w:t>
      </w:r>
      <w:proofErr w:type="spellStart"/>
      <w:r w:rsidRPr="008D0B22">
        <w:rPr>
          <w:rFonts w:asciiTheme="majorHAnsi" w:hAnsiTheme="majorHAnsi" w:cstheme="majorHAnsi"/>
          <w:color w:val="0E101A"/>
        </w:rPr>
        <w:t>Biosytems</w:t>
      </w:r>
      <w:proofErr w:type="spellEnd"/>
      <w:r w:rsidRPr="008D0B22">
        <w:rPr>
          <w:rFonts w:asciiTheme="majorHAnsi" w:hAnsiTheme="majorHAnsi" w:cstheme="majorHAnsi"/>
          <w:color w:val="0E101A"/>
        </w:rPr>
        <w:t>) using SYBR</w:t>
      </w:r>
      <w:r w:rsidRPr="008D0B22">
        <w:rPr>
          <w:rFonts w:asciiTheme="majorHAnsi" w:hAnsiTheme="majorHAnsi" w:cstheme="majorHAnsi"/>
          <w:color w:val="0E101A"/>
          <w:vertAlign w:val="superscript"/>
        </w:rPr>
        <w:t>TM</w:t>
      </w:r>
      <w:r w:rsidRPr="008D0B22">
        <w:rPr>
          <w:rFonts w:asciiTheme="majorHAnsi" w:hAnsiTheme="majorHAnsi" w:cstheme="majorHAnsi"/>
          <w:color w:val="0E101A"/>
        </w:rPr>
        <w:t xml:space="preserve"> Select Master Mix (2X) (Applied Biosystems). 10µl reaction volume consisted of 5µl SYBR Select </w:t>
      </w:r>
      <w:proofErr w:type="spellStart"/>
      <w:r w:rsidRPr="008D0B22">
        <w:rPr>
          <w:rFonts w:asciiTheme="majorHAnsi" w:hAnsiTheme="majorHAnsi" w:cstheme="majorHAnsi"/>
          <w:color w:val="0E101A"/>
        </w:rPr>
        <w:t>mastermix</w:t>
      </w:r>
      <w:proofErr w:type="spellEnd"/>
      <w:r w:rsidRPr="008D0B22">
        <w:rPr>
          <w:rFonts w:asciiTheme="majorHAnsi" w:hAnsiTheme="majorHAnsi" w:cstheme="majorHAnsi"/>
          <w:color w:val="0E101A"/>
        </w:rPr>
        <w:t xml:space="preserve">, 0.5µl of each forward and reverse primers (10µM), 1µl diluted cDNA and 3µl sterile water. Cycling conditions were polymerase activation at 95C for 10 minutes and 40 cycles of denaturation at 95C for 15s and annealing at 60C for 1 min. Melting curve analysis was performed to check single product amplified by the primers from 60C to 95C with fluorescence reading acquired at 0.05C increment per cycle. Three biological and three technical replications were used for all genes. No template control was included in each reaction as a negative control. Efficiency of primers and Ct values were calculated using </w:t>
      </w:r>
      <w:proofErr w:type="spellStart"/>
      <w:r w:rsidRPr="008D0B22">
        <w:rPr>
          <w:rFonts w:asciiTheme="majorHAnsi" w:hAnsiTheme="majorHAnsi" w:cstheme="majorHAnsi"/>
          <w:color w:val="0E101A"/>
        </w:rPr>
        <w:t>LinRegPCR</w:t>
      </w:r>
      <w:proofErr w:type="spellEnd"/>
      <w:r w:rsidRPr="008D0B22">
        <w:rPr>
          <w:rFonts w:asciiTheme="majorHAnsi" w:hAnsiTheme="majorHAnsi" w:cstheme="majorHAnsi"/>
          <w:color w:val="0E101A"/>
        </w:rPr>
        <w:t xml:space="preserve"> software. Differential gene expression was calculated using </w:t>
      </w:r>
      <m:oMath>
        <m:r>
          <w:rPr>
            <w:rFonts w:ascii="Cambria Math" w:hAnsi="Cambria Math" w:cstheme="majorHAnsi"/>
            <w:color w:val="0E101A"/>
          </w:rPr>
          <m:t>∆∆CT</m:t>
        </m:r>
      </m:oMath>
      <w:r w:rsidRPr="008D0B22">
        <w:rPr>
          <w:rFonts w:asciiTheme="majorHAnsi" w:hAnsiTheme="majorHAnsi" w:cstheme="majorHAnsi"/>
          <w:color w:val="0E101A"/>
        </w:rPr>
        <w:t xml:space="preserve"> method. The elongation factor (</w:t>
      </w:r>
      <w:proofErr w:type="spellStart"/>
      <w:r w:rsidRPr="008D0B22">
        <w:rPr>
          <w:rFonts w:asciiTheme="majorHAnsi" w:hAnsiTheme="majorHAnsi" w:cstheme="majorHAnsi"/>
          <w:color w:val="0E101A"/>
        </w:rPr>
        <w:t>elfa</w:t>
      </w:r>
      <w:proofErr w:type="spellEnd"/>
      <w:r w:rsidRPr="008D0B22">
        <w:rPr>
          <w:rFonts w:asciiTheme="majorHAnsi" w:hAnsiTheme="majorHAnsi" w:cstheme="majorHAnsi"/>
          <w:color w:val="0E101A"/>
        </w:rPr>
        <w:t xml:space="preserve">), actin (ACT-2) and </w:t>
      </w:r>
      <w:proofErr w:type="spellStart"/>
      <w:r w:rsidRPr="008D0B22">
        <w:rPr>
          <w:rFonts w:asciiTheme="majorHAnsi" w:hAnsiTheme="majorHAnsi" w:cstheme="majorHAnsi"/>
          <w:color w:val="0E101A"/>
        </w:rPr>
        <w:lastRenderedPageBreak/>
        <w:t>elfa</w:t>
      </w:r>
      <w:proofErr w:type="spellEnd"/>
      <w:r w:rsidRPr="008D0B22">
        <w:rPr>
          <w:rFonts w:asciiTheme="majorHAnsi" w:hAnsiTheme="majorHAnsi" w:cstheme="majorHAnsi"/>
          <w:color w:val="0E101A"/>
        </w:rPr>
        <w:t xml:space="preserve"> genes were used for normalization of the </w:t>
      </w:r>
      <w:proofErr w:type="spellStart"/>
      <w:r w:rsidRPr="008D0B22">
        <w:rPr>
          <w:rFonts w:asciiTheme="majorHAnsi" w:hAnsiTheme="majorHAnsi" w:cstheme="majorHAnsi"/>
          <w:color w:val="0E101A"/>
        </w:rPr>
        <w:t>qpcr</w:t>
      </w:r>
      <w:proofErr w:type="spellEnd"/>
      <w:r w:rsidRPr="008D0B22">
        <w:rPr>
          <w:rFonts w:asciiTheme="majorHAnsi" w:hAnsiTheme="majorHAnsi" w:cstheme="majorHAnsi"/>
          <w:color w:val="0E101A"/>
        </w:rPr>
        <w:t xml:space="preserve"> reactions for S. tuberosum, B. </w:t>
      </w:r>
      <w:proofErr w:type="spellStart"/>
      <w:r w:rsidRPr="008D0B22">
        <w:rPr>
          <w:rFonts w:asciiTheme="majorHAnsi" w:hAnsiTheme="majorHAnsi" w:cstheme="majorHAnsi"/>
          <w:color w:val="0E101A"/>
        </w:rPr>
        <w:t>juncea</w:t>
      </w:r>
      <w:proofErr w:type="spellEnd"/>
      <w:r w:rsidRPr="008D0B22">
        <w:rPr>
          <w:rFonts w:asciiTheme="majorHAnsi" w:hAnsiTheme="majorHAnsi" w:cstheme="majorHAnsi"/>
          <w:color w:val="0E101A"/>
        </w:rPr>
        <w:t xml:space="preserve"> and Verticillium </w:t>
      </w:r>
      <w:proofErr w:type="spellStart"/>
      <w:r w:rsidRPr="008D0B22">
        <w:rPr>
          <w:rFonts w:asciiTheme="majorHAnsi" w:hAnsiTheme="majorHAnsi" w:cstheme="majorHAnsi"/>
          <w:color w:val="0E101A"/>
        </w:rPr>
        <w:t>dahliae</w:t>
      </w:r>
      <w:proofErr w:type="spellEnd"/>
      <w:r w:rsidRPr="008D0B22">
        <w:rPr>
          <w:rFonts w:asciiTheme="majorHAnsi" w:hAnsiTheme="majorHAnsi" w:cstheme="majorHAnsi"/>
          <w:color w:val="0E101A"/>
        </w:rPr>
        <w:t xml:space="preserve"> respectively. A t-test at significance of difference at p&lt;0.05 was performed.  </w:t>
      </w:r>
    </w:p>
    <w:p w14:paraId="5C8FA671" w14:textId="77777777" w:rsidR="00074308" w:rsidRPr="008D0B22" w:rsidRDefault="00074308" w:rsidP="00074308">
      <w:pPr>
        <w:pStyle w:val="NormalWeb"/>
        <w:spacing w:before="0" w:beforeAutospacing="0" w:after="0" w:afterAutospacing="0"/>
        <w:rPr>
          <w:rFonts w:asciiTheme="majorHAnsi" w:hAnsiTheme="majorHAnsi" w:cstheme="majorHAnsi"/>
          <w:color w:val="0E101A"/>
        </w:rPr>
      </w:pPr>
    </w:p>
    <w:p w14:paraId="0DF11937" w14:textId="77777777" w:rsidR="00074308" w:rsidRPr="008D0B22" w:rsidRDefault="00074308" w:rsidP="00074308">
      <w:pPr>
        <w:pStyle w:val="NormalWeb"/>
        <w:spacing w:before="0" w:beforeAutospacing="0" w:after="0" w:afterAutospacing="0"/>
        <w:rPr>
          <w:rFonts w:asciiTheme="majorHAnsi" w:hAnsiTheme="majorHAnsi" w:cstheme="majorHAnsi"/>
          <w:color w:val="0E101A"/>
        </w:rPr>
      </w:pPr>
      <w:r w:rsidRPr="008D0B22">
        <w:rPr>
          <w:rFonts w:asciiTheme="majorHAnsi" w:hAnsiTheme="majorHAnsi" w:cstheme="majorHAnsi"/>
          <w:color w:val="0E101A"/>
        </w:rPr>
        <w:t xml:space="preserve">Both </w:t>
      </w:r>
      <w:proofErr w:type="spellStart"/>
      <w:r w:rsidRPr="008D0B22">
        <w:rPr>
          <w:rFonts w:asciiTheme="majorHAnsi" w:hAnsiTheme="majorHAnsi" w:cstheme="majorHAnsi"/>
          <w:color w:val="0E101A"/>
        </w:rPr>
        <w:t>qpcr</w:t>
      </w:r>
      <w:proofErr w:type="spellEnd"/>
      <w:r w:rsidRPr="008D0B22">
        <w:rPr>
          <w:rFonts w:asciiTheme="majorHAnsi" w:hAnsiTheme="majorHAnsi" w:cstheme="majorHAnsi"/>
          <w:color w:val="0E101A"/>
        </w:rPr>
        <w:t xml:space="preserve"> and </w:t>
      </w:r>
      <w:proofErr w:type="spellStart"/>
      <w:r w:rsidRPr="008D0B22">
        <w:rPr>
          <w:rFonts w:asciiTheme="majorHAnsi" w:hAnsiTheme="majorHAnsi" w:cstheme="majorHAnsi"/>
          <w:color w:val="0E101A"/>
        </w:rPr>
        <w:t>Rna</w:t>
      </w:r>
      <w:proofErr w:type="spellEnd"/>
      <w:r w:rsidRPr="008D0B22">
        <w:rPr>
          <w:rFonts w:asciiTheme="majorHAnsi" w:hAnsiTheme="majorHAnsi" w:cstheme="majorHAnsi"/>
          <w:color w:val="0E101A"/>
        </w:rPr>
        <w:t xml:space="preserve"> seq showed similar direction of gene expression level changes (both upregulated or downregulated)</w:t>
      </w:r>
    </w:p>
    <w:p w14:paraId="7561167D" w14:textId="77777777" w:rsidR="00074308" w:rsidRPr="008D0B22" w:rsidRDefault="00074308" w:rsidP="00074308">
      <w:pPr>
        <w:pStyle w:val="NormalWeb"/>
        <w:spacing w:before="0" w:beforeAutospacing="0" w:after="0" w:afterAutospacing="0"/>
        <w:rPr>
          <w:rFonts w:asciiTheme="majorHAnsi" w:hAnsiTheme="majorHAnsi" w:cstheme="majorHAnsi"/>
          <w:color w:val="0E101A"/>
        </w:rPr>
      </w:pPr>
      <w:r w:rsidRPr="008D0B22">
        <w:rPr>
          <w:rFonts w:asciiTheme="majorHAnsi" w:hAnsiTheme="majorHAnsi" w:cstheme="majorHAnsi"/>
          <w:color w:val="0E101A"/>
        </w:rPr>
        <w:t xml:space="preserve">Fold changes </w:t>
      </w:r>
    </w:p>
    <w:p w14:paraId="28A8AC80" w14:textId="6A081D12" w:rsidR="00074308" w:rsidRPr="008D0B22" w:rsidRDefault="004C070A" w:rsidP="00074308">
      <w:pPr>
        <w:pStyle w:val="NormalWeb"/>
        <w:spacing w:before="0" w:beforeAutospacing="0" w:after="0" w:afterAutospacing="0"/>
        <w:rPr>
          <w:rFonts w:asciiTheme="majorHAnsi" w:hAnsiTheme="majorHAnsi" w:cstheme="majorHAnsi"/>
          <w:color w:val="0E101A"/>
        </w:rPr>
      </w:pPr>
      <w:r w:rsidRPr="008D0B22">
        <w:rPr>
          <w:rFonts w:asciiTheme="majorHAnsi" w:hAnsiTheme="majorHAnsi" w:cstheme="majorHAnsi"/>
          <w:color w:val="0E101A"/>
        </w:rPr>
        <w:t>Correlation</w:t>
      </w:r>
      <w:r w:rsidR="00074308" w:rsidRPr="008D0B22">
        <w:rPr>
          <w:rFonts w:asciiTheme="majorHAnsi" w:hAnsiTheme="majorHAnsi" w:cstheme="majorHAnsi"/>
          <w:color w:val="0E101A"/>
        </w:rPr>
        <w:t xml:space="preserve"> </w:t>
      </w:r>
      <w:r w:rsidRPr="008D0B22">
        <w:rPr>
          <w:rFonts w:asciiTheme="majorHAnsi" w:hAnsiTheme="majorHAnsi" w:cstheme="majorHAnsi"/>
          <w:color w:val="0E101A"/>
        </w:rPr>
        <w:t>coefficients</w:t>
      </w:r>
      <w:r w:rsidR="00074308" w:rsidRPr="008D0B22">
        <w:rPr>
          <w:rFonts w:asciiTheme="majorHAnsi" w:hAnsiTheme="majorHAnsi" w:cstheme="majorHAnsi"/>
          <w:color w:val="0E101A"/>
        </w:rPr>
        <w:t>, RMSD and kappa statistics satisfied</w:t>
      </w:r>
    </w:p>
    <w:p w14:paraId="58B82292" w14:textId="77777777" w:rsidR="008D0B22" w:rsidRPr="008D0B22" w:rsidRDefault="008D0B22" w:rsidP="008D0B22">
      <w:pPr>
        <w:rPr>
          <w:rFonts w:asciiTheme="majorHAnsi" w:hAnsiTheme="majorHAnsi" w:cstheme="majorHAnsi"/>
          <w:b/>
          <w:sz w:val="24"/>
          <w:szCs w:val="24"/>
        </w:rPr>
      </w:pPr>
      <w:r w:rsidRPr="008D0B22">
        <w:rPr>
          <w:rFonts w:asciiTheme="majorHAnsi" w:hAnsiTheme="majorHAnsi" w:cstheme="majorHAnsi"/>
          <w:b/>
          <w:sz w:val="24"/>
          <w:szCs w:val="24"/>
        </w:rPr>
        <w:t>RESULTS/DISCUSSION:</w:t>
      </w:r>
    </w:p>
    <w:p w14:paraId="010A4524" w14:textId="77777777" w:rsidR="008D0B22" w:rsidRPr="008D0B22" w:rsidRDefault="008D0B22" w:rsidP="008D0B22">
      <w:pPr>
        <w:rPr>
          <w:rFonts w:asciiTheme="majorHAnsi" w:hAnsiTheme="majorHAnsi" w:cstheme="majorHAnsi"/>
          <w:sz w:val="24"/>
          <w:szCs w:val="24"/>
        </w:rPr>
      </w:pPr>
      <w:r w:rsidRPr="008D0B22">
        <w:rPr>
          <w:rFonts w:asciiTheme="majorHAnsi" w:hAnsiTheme="majorHAnsi" w:cstheme="majorHAnsi"/>
          <w:b/>
          <w:i/>
          <w:sz w:val="24"/>
          <w:szCs w:val="24"/>
        </w:rPr>
        <w:t>Publications</w:t>
      </w:r>
      <w:r w:rsidRPr="008D0B22">
        <w:rPr>
          <w:rFonts w:asciiTheme="majorHAnsi" w:hAnsiTheme="majorHAnsi" w:cstheme="majorHAnsi"/>
          <w:b/>
          <w:sz w:val="24"/>
          <w:szCs w:val="24"/>
        </w:rPr>
        <w:t>:</w:t>
      </w:r>
      <w:r w:rsidRPr="008D0B22">
        <w:rPr>
          <w:rFonts w:asciiTheme="majorHAnsi" w:hAnsiTheme="majorHAnsi" w:cstheme="majorHAnsi"/>
          <w:sz w:val="24"/>
          <w:szCs w:val="24"/>
          <w:u w:val="single"/>
        </w:rPr>
        <w:t xml:space="preserve"> </w:t>
      </w:r>
    </w:p>
    <w:p w14:paraId="020B25BD" w14:textId="77777777" w:rsidR="008D0B22" w:rsidRPr="008D0B22" w:rsidRDefault="008D0B22" w:rsidP="008D0B22">
      <w:pPr>
        <w:rPr>
          <w:rFonts w:asciiTheme="majorHAnsi" w:hAnsiTheme="majorHAnsi" w:cstheme="majorHAnsi"/>
          <w:sz w:val="24"/>
          <w:szCs w:val="24"/>
        </w:rPr>
      </w:pPr>
      <w:r w:rsidRPr="008D0B22">
        <w:rPr>
          <w:rFonts w:asciiTheme="majorHAnsi" w:hAnsiTheme="majorHAnsi" w:cstheme="majorHAnsi"/>
          <w:sz w:val="24"/>
          <w:szCs w:val="24"/>
        </w:rPr>
        <w:t xml:space="preserve">None to date. </w:t>
      </w:r>
    </w:p>
    <w:p w14:paraId="00B364DC" w14:textId="77777777" w:rsidR="008D0B22" w:rsidRPr="008D0B22" w:rsidRDefault="008D0B22" w:rsidP="008D0B22">
      <w:pPr>
        <w:rPr>
          <w:rFonts w:asciiTheme="majorHAnsi" w:hAnsiTheme="majorHAnsi" w:cstheme="majorHAnsi"/>
          <w:b/>
          <w:i/>
          <w:sz w:val="24"/>
          <w:szCs w:val="24"/>
        </w:rPr>
      </w:pPr>
      <w:r w:rsidRPr="008D0B22">
        <w:rPr>
          <w:rFonts w:asciiTheme="majorHAnsi" w:hAnsiTheme="majorHAnsi" w:cstheme="majorHAnsi"/>
          <w:b/>
          <w:i/>
          <w:sz w:val="24"/>
          <w:szCs w:val="24"/>
        </w:rPr>
        <w:t>Presentations and Reports:</w:t>
      </w:r>
    </w:p>
    <w:p w14:paraId="7D30F670" w14:textId="77777777" w:rsidR="008D0B22" w:rsidRPr="008D0B22" w:rsidRDefault="008D0B22" w:rsidP="008D0B22">
      <w:pPr>
        <w:rPr>
          <w:rFonts w:asciiTheme="majorHAnsi" w:hAnsiTheme="majorHAnsi" w:cstheme="majorHAnsi"/>
          <w:bCs/>
          <w:iCs/>
          <w:sz w:val="24"/>
          <w:szCs w:val="24"/>
        </w:rPr>
      </w:pPr>
      <w:r w:rsidRPr="008D0B22">
        <w:rPr>
          <w:rFonts w:asciiTheme="majorHAnsi" w:hAnsiTheme="majorHAnsi" w:cstheme="majorHAnsi"/>
          <w:bCs/>
          <w:iCs/>
          <w:sz w:val="24"/>
          <w:szCs w:val="24"/>
        </w:rPr>
        <w:t xml:space="preserve">None to date. </w:t>
      </w:r>
    </w:p>
    <w:p w14:paraId="5A6B262F" w14:textId="77777777" w:rsidR="008D0B22" w:rsidRPr="008D0B22" w:rsidRDefault="008D0B22" w:rsidP="008D0B2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rPr>
          <w:rFonts w:asciiTheme="majorHAnsi" w:hAnsiTheme="majorHAnsi" w:cstheme="majorHAnsi"/>
          <w:b/>
          <w:i/>
          <w:sz w:val="24"/>
          <w:szCs w:val="24"/>
        </w:rPr>
      </w:pPr>
      <w:r w:rsidRPr="008D0B22">
        <w:rPr>
          <w:rFonts w:asciiTheme="majorHAnsi" w:hAnsiTheme="majorHAnsi" w:cstheme="majorHAnsi"/>
          <w:b/>
          <w:i/>
          <w:sz w:val="24"/>
          <w:szCs w:val="24"/>
        </w:rPr>
        <w:t>Acknowledgements</w:t>
      </w:r>
    </w:p>
    <w:p w14:paraId="5BA4CC3D" w14:textId="5C3C20F7" w:rsidR="008D0B22" w:rsidRPr="008D0B22" w:rsidRDefault="008D0B22" w:rsidP="008D0B2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rPr>
          <w:rFonts w:asciiTheme="majorHAnsi" w:hAnsiTheme="majorHAnsi" w:cstheme="majorHAnsi"/>
          <w:sz w:val="24"/>
          <w:szCs w:val="24"/>
        </w:rPr>
      </w:pPr>
      <w:r w:rsidRPr="008D0B22">
        <w:rPr>
          <w:rFonts w:asciiTheme="majorHAnsi" w:hAnsiTheme="majorHAnsi" w:cstheme="majorHAnsi"/>
          <w:sz w:val="24"/>
          <w:szCs w:val="24"/>
        </w:rPr>
        <w:t xml:space="preserve">This project was funded by the Northwest Potato Consortium. </w:t>
      </w:r>
    </w:p>
    <w:p w14:paraId="277F50B6" w14:textId="3ED8757D" w:rsidR="00712498" w:rsidRPr="008D0B22" w:rsidRDefault="008D0B22">
      <w:pPr>
        <w:rPr>
          <w:rFonts w:asciiTheme="majorHAnsi" w:hAnsiTheme="majorHAnsi" w:cstheme="majorHAnsi"/>
          <w:b/>
        </w:rPr>
      </w:pPr>
      <w:r w:rsidRPr="008D0B22">
        <w:rPr>
          <w:rFonts w:asciiTheme="majorHAnsi" w:hAnsiTheme="majorHAnsi" w:cstheme="majorHAnsi"/>
          <w:b/>
        </w:rPr>
        <w:t>REFERENCES:</w:t>
      </w:r>
    </w:p>
    <w:p w14:paraId="112015F4" w14:textId="77777777" w:rsidR="008D0B22" w:rsidRPr="008D0B22" w:rsidRDefault="008D0B22">
      <w:pPr>
        <w:rPr>
          <w:rFonts w:asciiTheme="majorHAnsi" w:hAnsiTheme="majorHAnsi" w:cstheme="majorHAnsi"/>
        </w:rPr>
      </w:pPr>
    </w:p>
    <w:sectPr w:rsidR="008D0B22" w:rsidRPr="008D0B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 C Upadhaya, Sudha" w:date="2020-11-18T11:11:00Z" w:initials="GCUS">
    <w:p w14:paraId="69EE8456" w14:textId="77777777" w:rsidR="00074308" w:rsidRDefault="00074308" w:rsidP="00074308">
      <w:pPr>
        <w:pStyle w:val="CommentText"/>
      </w:pPr>
      <w:r>
        <w:rPr>
          <w:rStyle w:val="CommentReference"/>
        </w:rPr>
        <w:annotationRef/>
      </w:r>
      <w:r>
        <w:t>Specify numbers of genes validated and mention selection criteria: highly upregulated or downregulated, defense or virulence related 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E84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E8456" w16cid:durableId="235F7F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 C Upadhaya, Sudha">
    <w15:presenceInfo w15:providerId="AD" w15:userId="S::sudha.gcupadhaya@wsu.edu::5013d844-b7aa-48c2-bf03-bae1cd52c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62"/>
    <w:rsid w:val="00074308"/>
    <w:rsid w:val="00471962"/>
    <w:rsid w:val="004C070A"/>
    <w:rsid w:val="008D0B22"/>
    <w:rsid w:val="00923B94"/>
    <w:rsid w:val="00C17B03"/>
    <w:rsid w:val="00CE2E45"/>
    <w:rsid w:val="00F1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5722"/>
  <w15:chartTrackingRefBased/>
  <w15:docId w15:val="{F4772076-1BC9-4D5B-9720-36A38796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3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4308"/>
    <w:rPr>
      <w:i/>
      <w:iCs/>
    </w:rPr>
  </w:style>
  <w:style w:type="character" w:styleId="CommentReference">
    <w:name w:val="annotation reference"/>
    <w:basedOn w:val="DefaultParagraphFont"/>
    <w:uiPriority w:val="99"/>
    <w:semiHidden/>
    <w:unhideWhenUsed/>
    <w:rsid w:val="00074308"/>
    <w:rPr>
      <w:sz w:val="16"/>
      <w:szCs w:val="16"/>
    </w:rPr>
  </w:style>
  <w:style w:type="paragraph" w:styleId="CommentText">
    <w:name w:val="annotation text"/>
    <w:basedOn w:val="Normal"/>
    <w:link w:val="CommentTextChar"/>
    <w:uiPriority w:val="99"/>
    <w:semiHidden/>
    <w:unhideWhenUsed/>
    <w:rsid w:val="00074308"/>
    <w:pPr>
      <w:spacing w:after="0" w:line="240" w:lineRule="auto"/>
    </w:pPr>
    <w:rPr>
      <w:sz w:val="20"/>
      <w:szCs w:val="20"/>
    </w:rPr>
  </w:style>
  <w:style w:type="character" w:customStyle="1" w:styleId="CommentTextChar">
    <w:name w:val="Comment Text Char"/>
    <w:basedOn w:val="DefaultParagraphFont"/>
    <w:link w:val="CommentText"/>
    <w:uiPriority w:val="99"/>
    <w:semiHidden/>
    <w:rsid w:val="00074308"/>
    <w:rPr>
      <w:sz w:val="20"/>
      <w:szCs w:val="20"/>
    </w:rPr>
  </w:style>
  <w:style w:type="paragraph" w:styleId="BalloonText">
    <w:name w:val="Balloon Text"/>
    <w:basedOn w:val="Normal"/>
    <w:link w:val="BalloonTextChar"/>
    <w:uiPriority w:val="99"/>
    <w:semiHidden/>
    <w:unhideWhenUsed/>
    <w:rsid w:val="000743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3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 Upadhaya, Sudha</dc:creator>
  <cp:keywords/>
  <dc:description/>
  <cp:lastModifiedBy>G C Upadhaya, Sudha</cp:lastModifiedBy>
  <cp:revision>6</cp:revision>
  <dcterms:created xsi:type="dcterms:W3CDTF">2020-11-23T05:59:00Z</dcterms:created>
  <dcterms:modified xsi:type="dcterms:W3CDTF">2020-11-23T19:00:00Z</dcterms:modified>
</cp:coreProperties>
</file>