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r>
        <w:rPr>
          <w:rStyle w:val="SectionNumber"/>
        </w:rPr>
        <w:t xml:space="preserve">2.1</w:t>
      </w:r>
      <w:r>
        <w:tab/>
      </w:r>
      <w:r>
        <w:t xml:space="preserve">Pipeline Overview</w:t>
      </w:r>
    </w:p>
    <w:p>
      <w:pPr>
        <w:pStyle w:val="FirstParagraph"/>
      </w:pPr>
      <w:r>
        <w:t xml:space="preserve">The IMS-MTAS upgrade pipeline is a GitLab CI/CD automation framework designed to orchestrate the complete upgrade lifecycle of Ericsson IMS MTAS network functions from version 1.36.1 to 1.36.2. The pipeline leverages Ansible playbooks executed via GitLab Runner to perform structured, repeatable upgrades across multiple MTAS environments with comprehensive health validation, backup management, and rollback capabilities.</w:t>
      </w:r>
    </w:p>
    <w:p>
      <w:pPr>
        <w:pStyle w:val="BodyText"/>
      </w:pPr>
      <w:r>
        <w:rPr>
          <w:b/>
          <w:bCs/>
        </w:rPr>
        <w:t xml:space="preserve">Key characteristics:</w:t>
      </w:r>
    </w:p>
    <w:p>
      <w:pPr>
        <w:pStyle w:val="Compact"/>
        <w:numPr>
          <w:ilvl w:val="0"/>
          <w:numId w:val="1023"/>
        </w:numPr>
      </w:pPr>
      <w:r>
        <w:rPr>
          <w:b/>
          <w:bCs/>
        </w:rPr>
        <w:t xml:space="preserve">Dual-connectivity architecture:</w:t>
      </w:r>
      <w:r>
        <w:t xml:space="preserve"> </w:t>
      </w:r>
      <w:r>
        <w:t xml:space="preserve">The pipeline supports two connection modes—HTTPS (direct DDS access) and RSG (tunneled Remote Secure Gateway)—controlled by the</w:t>
      </w:r>
      <w:r>
        <w:t xml:space="preserve"> </w:t>
      </w:r>
      <w:r>
        <w:rPr>
          <w:rStyle w:val="VerbatimChar"/>
        </w:rPr>
        <w:t xml:space="preserve">$RSG_CONNECTION</w:t>
      </w:r>
      <w:r>
        <w:t xml:space="preserve"> </w:t>
      </w:r>
      <w:r>
        <w:t xml:space="preserve">variable, with conditional pipeline configuration inclusion</w:t>
      </w:r>
    </w:p>
    <w:p>
      <w:pPr>
        <w:pStyle w:val="Compact"/>
        <w:numPr>
          <w:ilvl w:val="0"/>
          <w:numId w:val="1023"/>
        </w:numPr>
      </w:pPr>
      <w:r>
        <w:rPr>
          <w:b/>
          <w:bCs/>
        </w:rPr>
        <w:t xml:space="preserve">Environment-aware execution:</w:t>
      </w:r>
      <w:r>
        <w:t xml:space="preserve"> </w:t>
      </w:r>
      <w:r>
        <w:t xml:space="preserve">Targets specific MTAS instances via</w:t>
      </w:r>
      <w:r>
        <w:t xml:space="preserve"> </w:t>
      </w:r>
      <w:r>
        <w:rPr>
          <w:rStyle w:val="VerbatimChar"/>
        </w:rPr>
        <w:t xml:space="preserve">$ENVIRONMENT_ID</w:t>
      </w:r>
      <w:r>
        <w:t xml:space="preserve"> </w:t>
      </w:r>
      <w:r>
        <w:t xml:space="preserve">matching against</w:t>
      </w:r>
      <w:r>
        <w:t xml:space="preserve"> </w:t>
      </w:r>
      <w:r>
        <w:rPr>
          <w:rStyle w:val="VerbatimChar"/>
        </w:rPr>
        <w:t xml:space="preserve">$UPGRADE_INSTANCES</w:t>
      </w:r>
      <w:r>
        <w:t xml:space="preserve">, enabling parallel upgrades across multiple test and production environments</w:t>
      </w:r>
    </w:p>
    <w:p>
      <w:pPr>
        <w:pStyle w:val="Compact"/>
        <w:numPr>
          <w:ilvl w:val="0"/>
          <w:numId w:val="1023"/>
        </w:numPr>
      </w:pPr>
      <w:r>
        <w:rPr>
          <w:b/>
          <w:bCs/>
        </w:rPr>
        <w:t xml:space="preserve">Stage-based workflow:</w:t>
      </w:r>
      <w:r>
        <w:t xml:space="preserve"> </w:t>
      </w:r>
      <w:r>
        <w:t xml:space="preserve">25 sequential stages from initial connectivity verification through software fetch, pre-upgrade health checks, upgrade package activation/commit, SC image updates, post-upgrade validation, and optional rollback</w:t>
      </w:r>
    </w:p>
    <w:p>
      <w:pPr>
        <w:pStyle w:val="Compact"/>
        <w:numPr>
          <w:ilvl w:val="0"/>
          <w:numId w:val="1023"/>
        </w:numPr>
      </w:pPr>
      <w:r>
        <w:rPr>
          <w:b/>
          <w:bCs/>
        </w:rPr>
        <w:t xml:space="preserve">Manual gate control:</w:t>
      </w:r>
      <w:r>
        <w:t xml:space="preserve"> </w:t>
      </w:r>
      <w:r>
        <w:t xml:space="preserve">All upgrade-impacting jobs require manual trigger (</w:t>
      </w:r>
      <w:r>
        <w:rPr>
          <w:rStyle w:val="VerbatimChar"/>
        </w:rPr>
        <w:t xml:space="preserve">when: manual</w:t>
      </w:r>
      <w:r>
        <w:t xml:space="preserve">) with failure tolerance (</w:t>
      </w:r>
      <w:r>
        <w:rPr>
          <w:rStyle w:val="VerbatimChar"/>
        </w:rPr>
        <w:t xml:space="preserve">allow_failure: true</w:t>
      </w:r>
      <w:r>
        <w:t xml:space="preserve">), ensuring human oversight at critical decision points</w:t>
      </w:r>
    </w:p>
    <w:p>
      <w:pPr>
        <w:pStyle w:val="Compact"/>
        <w:numPr>
          <w:ilvl w:val="0"/>
          <w:numId w:val="1023"/>
        </w:numPr>
      </w:pPr>
      <w:r>
        <w:rPr>
          <w:b/>
          <w:bCs/>
        </w:rPr>
        <w:t xml:space="preserve">Comprehensive logging:</w:t>
      </w:r>
      <w:r>
        <w:t xml:space="preserve"> </w:t>
      </w:r>
      <w:r>
        <w:t xml:space="preserve">Every job generates timestamped logs in</w:t>
      </w:r>
      <w:r>
        <w:t xml:space="preserve"> </w:t>
      </w:r>
      <w:r>
        <w:rPr>
          <w:rStyle w:val="VerbatimChar"/>
        </w:rPr>
        <w:t xml:space="preserve">/tmp/$CI_PROJECT_NAME/&lt;job_name&gt;.log</w:t>
      </w:r>
      <w:r>
        <w:t xml:space="preserve"> </w:t>
      </w:r>
      <w:r>
        <w:t xml:space="preserve">on the DDS server, with aggregated copies preserved in</w:t>
      </w:r>
      <w:r>
        <w:t xml:space="preserve"> </w:t>
      </w:r>
      <w:r>
        <w:rPr>
          <w:rStyle w:val="VerbatimChar"/>
        </w:rPr>
        <w:t xml:space="preserve">$DDS_LOGS_DIR/$ENVIRONMENT_ID/</w:t>
      </w:r>
      <w:r>
        <w:t xml:space="preserve"> </w:t>
      </w:r>
      <w:r>
        <w:t xml:space="preserve">and GitLab artifacts (30-day retention)</w:t>
      </w:r>
    </w:p>
    <w:p>
      <w:pPr>
        <w:pStyle w:val="Compact"/>
        <w:numPr>
          <w:ilvl w:val="0"/>
          <w:numId w:val="1023"/>
        </w:numPr>
      </w:pPr>
      <w:r>
        <w:rPr>
          <w:b/>
          <w:bCs/>
        </w:rPr>
        <w:t xml:space="preserve">Health check integration:</w:t>
      </w:r>
      <w:r>
        <w:t xml:space="preserve"> </w:t>
      </w:r>
      <w:r>
        <w:t xml:space="preserve">Pre-upgrade, mid-upgrade, and post-upgrade automated health checks generate HTML reports capturing system state (CPU, memory, disk, cluster health, alarm status) for validation and audit trails</w:t>
      </w:r>
    </w:p>
    <w:p>
      <w:pPr>
        <w:pStyle w:val="Compact"/>
        <w:numPr>
          <w:ilvl w:val="0"/>
          <w:numId w:val="1023"/>
        </w:numPr>
      </w:pPr>
      <w:r>
        <w:rPr>
          <w:b/>
          <w:bCs/>
        </w:rPr>
        <w:t xml:space="preserve">Backup orchestration:</w:t>
      </w:r>
      <w:r>
        <w:t xml:space="preserve"> </w:t>
      </w:r>
      <w:r>
        <w:t xml:space="preserve">Automatic pre-upgrade backup creation and SFTP export to external backup servers, with backup naming based on target version (</w:t>
      </w:r>
      <w:r>
        <w:rPr>
          <w:rStyle w:val="VerbatimChar"/>
        </w:rPr>
        <w:t xml:space="preserve">pre_1-36-2_mtas_upgrade</w:t>
      </w:r>
      <w:r>
        <w:t xml:space="preserve">)</w:t>
      </w:r>
    </w:p>
    <w:p>
      <w:pPr>
        <w:pStyle w:val="Compact"/>
        <w:numPr>
          <w:ilvl w:val="0"/>
          <w:numId w:val="1023"/>
        </w:numPr>
      </w:pPr>
      <w:r>
        <w:rPr>
          <w:b/>
          <w:bCs/>
        </w:rPr>
        <w:t xml:space="preserve">SC image lifecycle management:</w:t>
      </w:r>
      <w:r>
        <w:t xml:space="preserve"> </w:t>
      </w:r>
      <w:r>
        <w:t xml:space="preserve">Orchestrated OpenStack Glance image updates for System Controller VMs, including OVA signature validation, qcow2 image upload, Heat stack parameter updates, and old image cleanup</w:t>
      </w:r>
    </w:p>
    <w:p>
      <w:pPr>
        <w:pStyle w:val="Compact"/>
        <w:numPr>
          <w:ilvl w:val="0"/>
          <w:numId w:val="1023"/>
        </w:numPr>
      </w:pPr>
      <w:r>
        <w:rPr>
          <w:b/>
          <w:bCs/>
        </w:rPr>
        <w:t xml:space="preserve">Rollback readiness:</w:t>
      </w:r>
      <w:r>
        <w:t xml:space="preserve"> </w:t>
      </w:r>
      <w:r>
        <w:t xml:space="preserve">Dedicated rollback stage with playbooks to restore from named backups, revert SC images, and restore original configurations</w:t>
      </w:r>
    </w:p>
    <w:p>
      <w:pPr>
        <w:pStyle w:val="Compact"/>
        <w:numPr>
          <w:ilvl w:val="0"/>
          <w:numId w:val="1023"/>
        </w:numPr>
      </w:pPr>
      <w:r>
        <w:rPr>
          <w:b/>
          <w:bCs/>
        </w:rPr>
        <w:t xml:space="preserve">Template-driven consistency:</w:t>
      </w:r>
      <w:r>
        <w:t xml:space="preserve"> </w:t>
      </w:r>
      <w:r>
        <w:t xml:space="preserve">Job templates (</w:t>
      </w:r>
      <w:r>
        <w:rPr>
          <w:rStyle w:val="VerbatimChar"/>
        </w:rPr>
        <w:t xml:space="preserve">.job_template</w:t>
      </w:r>
      <w:r>
        <w:t xml:space="preserve">,</w:t>
      </w:r>
      <w:r>
        <w:t xml:space="preserve"> </w:t>
      </w:r>
      <w:r>
        <w:rPr>
          <w:rStyle w:val="VerbatimChar"/>
        </w:rPr>
        <w:t xml:space="preserve">.job_template_main</w:t>
      </w:r>
      <w:r>
        <w:t xml:space="preserve">,</w:t>
      </w:r>
      <w:r>
        <w:t xml:space="preserve"> </w:t>
      </w:r>
      <w:r>
        <w:rPr>
          <w:rStyle w:val="VerbatimChar"/>
        </w:rPr>
        <w:t xml:space="preserve">.job_template_with_HC</w:t>
      </w:r>
      <w:r>
        <w:t xml:space="preserve">) enforce uniform logging, artifact handling, and execution context across all jobs</w:t>
      </w:r>
    </w:p>
    <w:p>
      <w:pPr>
        <w:pStyle w:val="FirstParagraph"/>
      </w:pPr>
      <w:r>
        <w:t xml:space="preserve">The pipeline accommodates node-specific variations (e.g., SC image update requirements) via inventory variables and supports both dry-run validation and production execution workflows.</w:t>
      </w:r>
    </w:p>
    <w:bookmarkEnd w:id="14"/>
    <w:bookmarkStart w:id="15" w:name="pipeline-architecture-diagram"/>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Ericsson Hilda">
    <w:panose1 w:val="00000500000000000000"/>
    <w:charset w:val="00"/>
    <w:family w:val="auto"/>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B38E026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2039548783"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E21BD"/>
    <w:rsid w:val="00060245"/>
    <w:rsid w:val="001C6E3C"/>
    <w:rsid w:val="002C65F1"/>
    <w:rsid w:val="003E6936"/>
    <w:rsid w:val="004538BE"/>
    <w:rsid w:val="0059156F"/>
    <w:rsid w:val="006065CE"/>
    <w:rsid w:val="006136C8"/>
    <w:rsid w:val="00672CA7"/>
    <w:rsid w:val="00681D40"/>
    <w:rsid w:val="00872ACF"/>
    <w:rsid w:val="008C7914"/>
    <w:rsid w:val="00960163"/>
    <w:rsid w:val="00991E80"/>
    <w:rsid w:val="0099208B"/>
    <w:rsid w:val="00A723C5"/>
    <w:rsid w:val="00B04FEA"/>
    <w:rsid w:val="00B8052F"/>
    <w:rsid w:val="00BC1940"/>
    <w:rsid w:val="00C25156"/>
    <w:rsid w:val="00C27803"/>
    <w:rsid w:val="00C45615"/>
    <w:rsid w:val="00CB214D"/>
    <w:rsid w:val="00CE21BD"/>
    <w:rsid w:val="00D17D6B"/>
    <w:rsid w:val="00E00248"/>
    <w:rsid w:val="00E567D2"/>
    <w:rsid w:val="00F71C8B"/>
    <w:rsid w:val="00FD4D0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4538BE"/>
    <w:pPr>
      <w:spacing w:after="180" w:before="180"/>
    </w:pPr>
    <w:rPr>
      <w:rFonts w:ascii="Ericsson Hilda" w:hAnsi="Ericsson Hilda"/>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C45615"/>
    <w:rPr>
      <w:rFonts w:ascii="Ericsson Hilda" w:hAnsi="Ericsson Hilda"/>
      <w:sz w:val="20"/>
      <w:szCs w:val="20"/>
      <w:lang w:eastAsia="en-IN" w:val="en-IN"/>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auto" w:val="clear"/>
    </w:tcPr>
    <w:tblStylePr w:type="firstRow">
      <w:rPr>
        <w:rFonts w:ascii="Ericsson Hilda" w:hAnsi="Ericsson Hilda"/>
        <w:b/>
        <w:color w:themeColor="background1" w:val="FFFFFF"/>
        <w:sz w:val="22"/>
      </w:rPr>
      <w:tblPr/>
      <w:tcPr>
        <w:shd w:color="auto" w:fill="4C94D8" w:themeFill="text2" w:themeFillTint="80" w:val="clear"/>
      </w:tcPr>
    </w:tblStylePr>
    <w:tblStylePr w:type="lastRow">
      <w:rPr>
        <w:rFonts w:ascii="Ericsson Hilda" w:hAnsi="Ericsson Hilda"/>
        <w:color w:themeColor="text1" w:val="000000"/>
        <w:sz w:val="20"/>
      </w:rPr>
    </w:tblStylePr>
  </w:style>
  <w:style w:customStyle="1" w:styleId="DefinitionTerm" w:type="paragraph">
    <w:name w:val="Definition Term"/>
    <w:basedOn w:val="Normal"/>
    <w:next w:val="Definition"/>
    <w:rsid w:val="00060245"/>
    <w:pPr>
      <w:keepNext/>
      <w:keepLines/>
      <w:spacing w:after="0"/>
    </w:pPr>
    <w:rPr>
      <w:rFonts w:ascii="Ericsson Hilda" w:hAnsi="Ericsson Hilda"/>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FD4D0E"/>
    <w:pPr>
      <w:keepNext/>
    </w:pPr>
    <w:rPr>
      <w:rFonts w:ascii="Ericsson Hilda" w:hAnsi="Ericsson Hilda"/>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styleId="BodyText2" w:type="paragraph">
    <w:name w:val="Body Text 2"/>
    <w:basedOn w:val="Normal"/>
    <w:link w:val="BodyText2Char"/>
    <w:rsid w:val="00960163"/>
    <w:pPr>
      <w:spacing w:after="120" w:line="480" w:lineRule="auto"/>
    </w:pPr>
  </w:style>
  <w:style w:customStyle="1" w:styleId="BodyText2Char" w:type="character">
    <w:name w:val="Body Text 2 Char"/>
    <w:basedOn w:val="DefaultParagraphFont"/>
    <w:link w:val="BodyText2"/>
    <w:rsid w:val="00960163"/>
  </w:style>
  <w:style w:styleId="BodyText3" w:type="paragraph">
    <w:name w:val="Body Text 3"/>
    <w:basedOn w:val="Normal"/>
    <w:link w:val="BodyText3Char"/>
    <w:rsid w:val="00960163"/>
    <w:pPr>
      <w:spacing w:after="120"/>
    </w:pPr>
    <w:rPr>
      <w:sz w:val="16"/>
      <w:szCs w:val="16"/>
    </w:rPr>
  </w:style>
  <w:style w:customStyle="1" w:styleId="BodyText3Char" w:type="character">
    <w:name w:val="Body Text 3 Char"/>
    <w:basedOn w:val="DefaultParagraphFont"/>
    <w:link w:val="BodyText3"/>
    <w:rsid w:val="00960163"/>
    <w:rPr>
      <w:sz w:val="16"/>
      <w:szCs w:val="16"/>
    </w:rPr>
  </w:style>
  <w:style w:customStyle="1" w:styleId="BodyTextChar" w:type="character">
    <w:name w:val="Body Text Char"/>
    <w:basedOn w:val="DefaultParagraphFont"/>
    <w:link w:val="BodyText"/>
    <w:rsid w:val="004538BE"/>
    <w:rPr>
      <w:rFonts w:ascii="Ericsson Hilda" w:hAnsi="Ericsson Hilda"/>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53</Words>
  <Characters>304</Characters>
  <Application>Microsoft Office Word</Application>
  <DocSecurity>0</DocSecurity>
  <Lines>2</Lines>
  <Paragraphs>1</Paragraphs>
  <ScaleCrop>false</ScaleCrop>
  <Company>Ericsson</Company>
  <LinksUpToDate>false</LinksUpToDate>
  <CharactersWithSpaces>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2026-05-07T05:45:08Z</dcterms:created>
  <dcterms:modified xsi:type="dcterms:W3CDTF">2026-05-07T05:45:08Z</dcterms:modified>
</cp:coreProperties>
</file>

<file path=docProps/custom.xml><?xml version="1.0" encoding="utf-8"?>
<Properties xmlns="http://schemas.openxmlformats.org/officeDocument/2006/custom-properties" xmlns:vt="http://schemas.openxmlformats.org/officeDocument/2006/docPropsVTypes"/>
</file>