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E74C3C"/>
          <w:sz w:val="24"/>
          <w:szCs w:val="24"/>
        </w:rPr>
        <w:t xml:space="preserve">CONFIDENTIAL</w:t>
      </w:r>
    </w:p>
    <w:p>
      <w:pPr>
        <w:spacing w:before="400" w:after="800"/>
        <w:jc w:val="center"/>
      </w:pPr>
      <w:r>
        <w:rPr>
          <w:rFonts w:ascii="Arial" w:cs="Arial" w:eastAsia="Arial" w:hAnsi="Arial"/>
          <w:b/>
          <w:bCs/>
          <w:color w:val="1F4788"/>
          <w:sz w:val="72"/>
          <w:szCs w:val="72"/>
        </w:rPr>
        <w:t xml:space="preserve">ANCEL: Comprehensive Due Diligence Report</w:t>
      </w:r>
    </w:p>
    <w:p>
      <w:pPr>
        <w:spacing w:after="1200"/>
        <w:jc w:val="center"/>
      </w:pPr>
      <w:r>
        <w:rPr>
          <w:rFonts w:ascii="Calibri" w:cs="Calibri" w:eastAsia="Calibri" w:hAnsi="Calibri"/>
          <w:i/>
          <w:iCs/>
          <w:sz w:val="32"/>
          <w:szCs w:val="32"/>
        </w:rPr>
        <w:t xml:space="preserve">Executive Summary &amp; Full Strategic Analysis</w:t>
      </w:r>
    </w:p>
    <w:p>
      <w:pPr>
        <w:pStyle w:val="Heading1"/>
      </w:pPr>
      <w:r>
        <w:rPr>
          <w:rFonts w:ascii="Arial" w:cs="Arial" w:eastAsia="Arial" w:hAnsi="Arial"/>
          <w:b/>
          <w:bCs/>
          <w:color w:val="1F4788"/>
        </w:rPr>
        <w:t xml:space="preserve">Executive Summary</w:t>
      </w:r>
    </w:p>
    <w:p>
      <w:pPr>
        <w:spacing w:before="200" w:after="200"/>
      </w:pPr>
      <w:r>
        <w:rPr>
          <w:rFonts w:ascii="Calibri" w:cs="Calibri" w:eastAsia="Calibri" w:hAnsi="Calibri"/>
        </w:rPr>
        <w:t xml:space="preserve">ANCEL is a private automotive diagnostic tool manufacturer specializing in OBD-II scanners and maintenance equipment, positioned primarily in the budget-tier market segment ($30–$300). While the company has achieved significant scale—selling over 10 million devices globally—due diligence reveals critical risk factors including polarized customer satisfaction and inconsistent product update policies.</w:t>
      </w:r>
    </w:p>
    <w:p>
      <w:pPr>
        <w:pStyle w:val="ListParagraph"/>
        <w:numPr>
          <w:ilvl w:val="0"/>
          <w:numId w:val="1"/>
        </w:numPr>
      </w:pPr>
      <w:r>
        <w:rPr>
          <w:rFonts w:ascii="Calibri" w:cs="Calibri" w:eastAsia="Calibri" w:hAnsi="Calibri"/>
          <w:b/>
          <w:bCs/>
        </w:rPr>
        <w:t xml:space="preserve">Market Position: Dominant in budget e-commerce (Amazon, eBay) but absent from professional market leaderboards.</w:t>
      </w:r>
    </w:p>
    <w:p>
      <w:pPr>
        <w:pStyle w:val="ListParagraph"/>
        <w:numPr>
          <w:ilvl w:val="0"/>
          <w:numId w:val="1"/>
        </w:numPr>
      </w:pPr>
      <w:r>
        <w:rPr>
          <w:rFonts w:ascii="Calibri" w:cs="Calibri" w:eastAsia="Calibri" w:hAnsi="Calibri"/>
          <w:b/>
          <w:bCs/>
        </w:rPr>
        <w:t xml:space="preserve">Operational Scale: Over 10 million units sold; global warehouse infrastructure.</w:t>
      </w:r>
    </w:p>
    <w:p>
      <w:pPr>
        <w:pStyle w:val="ListParagraph"/>
        <w:numPr>
          <w:ilvl w:val="0"/>
          <w:numId w:val="1"/>
        </w:numPr>
      </w:pPr>
      <w:r>
        <w:rPr>
          <w:rFonts w:ascii="Calibri" w:cs="Calibri" w:eastAsia="Calibri" w:hAnsi="Calibri"/>
          <w:b/>
          <w:bCs/>
        </w:rPr>
        <w:t xml:space="preserve">Customer Risk: Trustpilot ratings of 2.5–2.7/5 due to service issues and 'lifetime update' marketing contradictions.</w:t>
      </w:r>
    </w:p>
    <w:p>
      <w:pPr>
        <w:pStyle w:val="ListParagraph"/>
        <w:numPr>
          <w:ilvl w:val="0"/>
          <w:numId w:val="1"/>
        </w:numPr>
      </w:pPr>
      <w:r>
        <w:rPr>
          <w:rFonts w:ascii="Calibri" w:cs="Calibri" w:eastAsia="Calibri" w:hAnsi="Calibri"/>
          <w:b/>
          <w:bCs/>
        </w:rPr>
        <w:t xml:space="preserve">Financial Status: Completely opaque; first regulatory filings for UK entity due late 2025.</w:t>
      </w:r>
    </w:p>
    <w:p>
      <w:pPr>
        <w:pStyle w:val="Heading1"/>
        <w:spacing w:before="400"/>
      </w:pPr>
      <w:r>
        <w:rPr>
          <w:rFonts w:ascii="Arial" w:cs="Arial" w:eastAsia="Arial" w:hAnsi="Arial"/>
          <w:b/>
          <w:bCs/>
          <w:color w:val="1F4788"/>
        </w:rPr>
        <w:t xml:space="preserve">1. Company Overview</w:t>
      </w:r>
    </w:p>
    <w:p>
      <w:r>
        <w:rPr>
          <w:rFonts w:ascii="Arial" w:cs="Arial" w:eastAsia="Arial" w:hAnsi="Arial"/>
          <w:b/>
          <w:bCs/>
          <w:sz w:val="28"/>
          <w:szCs w:val="28"/>
        </w:rPr>
        <w:t xml:space="preserve">History and Development</w:t>
      </w:r>
    </w:p>
    <w:p>
      <w:pPr>
        <w:spacing w:before="200"/>
      </w:pPr>
      <w:r>
        <w:rPr>
          <w:rFonts w:ascii="Calibri" w:cs="Calibri" w:eastAsia="Calibri" w:hAnsi="Calibri"/>
        </w:rPr>
        <w:t xml:space="preserve">ANCEL's history contains minor discrepancies in official documentation. Brand launch is cited as 2016 with the AD310 scanner, while founder Mr. Hao reportedly began selling diagnostic products as early as 2013. The company transitioned from a pure e-commerce player to a multi-channel distributor model in 2020.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Year</w:t>
            </w:r>
          </w:p>
        </w:tc>
        <w:tc>
          <w:p>
            <w:r>
              <w:rPr>
                <w:b/>
                <w:bCs/>
              </w:rPr>
              <w:t xml:space="preserve">Milestone</w:t>
            </w:r>
          </w:p>
        </w:tc>
      </w:tr>
      <w:tr>
        <w:tc>
          <w:p>
            <w:r>
              <w:t xml:space="preserve">2013</w:t>
            </w:r>
          </w:p>
        </w:tc>
        <w:tc>
          <w:p>
            <w:r>
              <w:t xml:space="preserve">Founder Mr. Hao begins selling automotive diagnostic products</w:t>
            </w:r>
          </w:p>
        </w:tc>
      </w:tr>
      <w:tr>
        <w:tc>
          <w:p>
            <w:r>
              <w:t xml:space="preserve">2016</w:t>
            </w:r>
          </w:p>
        </w:tc>
        <w:tc>
          <w:p>
            <w:r>
              <w:t xml:space="preserve">ANCEL brand founded; Launch of AD310 (Amazon Bestseller)</w:t>
            </w:r>
          </w:p>
        </w:tc>
      </w:tr>
      <w:tr>
        <w:tc>
          <w:p>
            <w:r>
              <w:t xml:space="preserve">2020</w:t>
            </w:r>
          </w:p>
        </w:tc>
        <w:tc>
          <w:p>
            <w:r>
              <w:t xml:space="preserve">Implementation of global distributor system</w:t>
            </w:r>
          </w:p>
        </w:tc>
      </w:tr>
      <w:tr>
        <w:tc>
          <w:p>
            <w:r>
              <w:t xml:space="preserve">2024</w:t>
            </w:r>
          </w:p>
        </w:tc>
        <w:tc>
          <w:p>
            <w:r>
              <w:t xml:space="preserve">Expansion into fuel injector cleaning and heavy-duty commercial equipment</w:t>
            </w:r>
          </w:p>
        </w:tc>
      </w:tr>
    </w:tbl>
    <w:p>
      <w:pPr>
        <w:spacing w:before="400"/>
      </w:pPr>
      <w:r>
        <w:rPr>
          <w:rFonts w:ascii="Arial" w:cs="Arial" w:eastAsia="Arial" w:hAnsi="Arial"/>
          <w:b/>
          <w:bCs/>
          <w:sz w:val="28"/>
          <w:szCs w:val="28"/>
        </w:rPr>
        <w:t xml:space="preserve">Global Presence and Infrastructure</w:t>
      </w:r>
    </w:p>
    <w:p>
      <w:pPr>
        <w:spacing w:before="200"/>
      </w:pPr>
      <w:r>
        <w:rPr>
          <w:rFonts w:ascii="Calibri" w:cs="Calibri" w:eastAsia="Calibri" w:hAnsi="Calibri"/>
        </w:rPr>
        <w:t xml:space="preserve">ANCEL LTD is registered in the UK (Company No. 16088238). The company maintains a global warehouse network and sells through major platforms including Amazon, eBay, Alibaba, TikTok, and Temu. Its digital footprint is modest compared to its unit sales, with approximately 6,000 Facebook followers and 3,700 YouTube subscribers.</w:t>
      </w:r>
    </w:p>
    <w:p>
      <w:pPr>
        <w:pStyle w:val="Heading1"/>
        <w:spacing w:before="400"/>
      </w:pPr>
      <w:r>
        <w:rPr>
          <w:rFonts w:ascii="Arial" w:cs="Arial" w:eastAsia="Arial" w:hAnsi="Arial"/>
          <w:b/>
          <w:bCs/>
          <w:color w:val="1F4788"/>
        </w:rPr>
        <w:t xml:space="preserve">2. Business Model &amp; Products/Services</w:t>
      </w:r>
    </w:p>
    <w:p>
      <w:r>
        <w:rPr>
          <w:rFonts w:ascii="Calibri" w:cs="Calibri" w:eastAsia="Calibri" w:hAnsi="Calibri"/>
        </w:rPr>
        <w:t xml:space="preserve">The company operates a high-volume hardware model focused on the DIY and home mechanic segment. Recently, they have attempted to move up-market into 'prosumer' and commercial fleet tools.</w:t>
      </w:r>
    </w:p>
    <w:p>
      <w:pPr>
        <w:pStyle w:val="ListParagraph"/>
        <w:numPr>
          <w:ilvl w:val="0"/>
          <w:numId w:val="1"/>
        </w:numPr>
      </w:pPr>
      <w:r>
        <w:rPr>
          <w:rFonts w:ascii="Calibri" w:cs="Calibri" w:eastAsia="Calibri" w:hAnsi="Calibri"/>
        </w:rPr>
        <w:t xml:space="preserve">Entry-Level ($30–$80): Basic OBD-II scanners like VD500 and AD310.</w:t>
      </w:r>
    </w:p>
    <w:p>
      <w:pPr>
        <w:pStyle w:val="ListParagraph"/>
        <w:numPr>
          <w:ilvl w:val="0"/>
          <w:numId w:val="1"/>
        </w:numPr>
      </w:pPr>
      <w:r>
        <w:rPr>
          <w:rFonts w:ascii="Calibri" w:cs="Calibri" w:eastAsia="Calibri" w:hAnsi="Calibri"/>
        </w:rPr>
        <w:t xml:space="preserve">Mid-Range ($80–$150): Enhanced diagnostics with bi-directional controls (e.g., V6 series).</w:t>
      </w:r>
    </w:p>
    <w:p>
      <w:pPr>
        <w:pStyle w:val="ListParagraph"/>
        <w:numPr>
          <w:ilvl w:val="0"/>
          <w:numId w:val="1"/>
        </w:numPr>
      </w:pPr>
      <w:r>
        <w:rPr>
          <w:rFonts w:ascii="Calibri" w:cs="Calibri" w:eastAsia="Calibri" w:hAnsi="Calibri"/>
        </w:rPr>
        <w:t xml:space="preserve">Premium/HD ($150–$500): Multi-system tools (X7 HD) and heavy-duty truck scanners (HD3400 Pro).</w:t>
      </w:r>
    </w:p>
    <w:p>
      <w:pPr>
        <w:spacing w:before="300"/>
      </w:pPr>
      <w:r>
        <w:rPr>
          <w:rFonts w:ascii="Calibri" w:cs="Calibri" w:eastAsia="Calibri" w:hAnsi="Calibri"/>
          <w:b/>
          <w:bCs/>
        </w:rPr>
        <w:t xml:space="preserve">Revenue Streams:</w:t>
      </w:r>
    </w:p>
    <w:p>
      <w:pPr>
        <w:pStyle w:val="ListParagraph"/>
        <w:numPr>
          <w:ilvl w:val="0"/>
          <w:numId w:val="1"/>
        </w:numPr>
      </w:pPr>
      <w:r>
        <w:rPr>
          <w:rFonts w:ascii="Calibri" w:cs="Calibri" w:eastAsia="Calibri" w:hAnsi="Calibri"/>
        </w:rPr>
        <w:t xml:space="preserve">Direct E-Commerce Sales: Significant margins through direct-to-consumer platforms.</w:t>
      </w:r>
    </w:p>
    <w:p>
      <w:pPr>
        <w:pStyle w:val="ListParagraph"/>
        <w:numPr>
          <w:ilvl w:val="0"/>
          <w:numId w:val="1"/>
        </w:numPr>
      </w:pPr>
      <w:r>
        <w:rPr>
          <w:rFonts w:ascii="Calibri" w:cs="Calibri" w:eastAsia="Calibri" w:hAnsi="Calibri"/>
        </w:rPr>
        <w:t xml:space="preserve">B2B Wholesale: Bulk sales to independent repair shops via distributors.</w:t>
      </w:r>
    </w:p>
    <w:p>
      <w:pPr>
        <w:pStyle w:val="ListParagraph"/>
        <w:numPr>
          <w:ilvl w:val="0"/>
          <w:numId w:val="1"/>
        </w:numPr>
      </w:pPr>
      <w:r>
        <w:rPr>
          <w:rFonts w:ascii="Calibri" w:cs="Calibri" w:eastAsia="Calibri" w:hAnsi="Calibri"/>
        </w:rPr>
        <w:t xml:space="preserve">Subscription Revenue: Recurring fees of ~$9.99/month for software updates on mid-tier models (controversial).</w:t>
      </w:r>
    </w:p>
    <w:p>
      <w:pPr>
        <w:pStyle w:val="Heading1"/>
        <w:spacing w:before="400"/>
      </w:pPr>
      <w:r>
        <w:rPr>
          <w:rFonts w:ascii="Arial" w:cs="Arial" w:eastAsia="Arial" w:hAnsi="Arial"/>
          <w:b/>
          <w:bCs/>
          <w:color w:val="1F4788"/>
        </w:rPr>
        <w:t xml:space="preserve">3. Financial Analysis</w:t>
      </w:r>
    </w:p>
    <w:p>
      <w:r>
        <w:rPr>
          <w:rFonts w:ascii="Calibri" w:cs="Calibri" w:eastAsia="Calibri" w:hAnsi="Calibri"/>
        </w:rPr>
        <w:t xml:space="preserve">As a private company, ANCEL does not disclose audited financial statements. However, operational metrics suggest substantial revenue generated from high unit volumes.</w:t>
      </w:r>
    </w:p>
    <w:p>
      <w:pPr>
        <w:pStyle w:val="ListParagraph"/>
        <w:numPr>
          <w:ilvl w:val="0"/>
          <w:numId w:val="1"/>
        </w:numPr>
      </w:pPr>
      <w:r>
        <w:rPr>
          <w:rFonts w:ascii="Calibri" w:cs="Calibri" w:eastAsia="Calibri" w:hAnsi="Calibri"/>
        </w:rPr>
        <w:t xml:space="preserve">Estimated Cumulative Revenue: 10M units at an average ASP of $60 implies historical gross revenue in the hundreds of millions.</w:t>
      </w:r>
    </w:p>
    <w:p>
      <w:pPr>
        <w:pStyle w:val="ListParagraph"/>
        <w:numPr>
          <w:ilvl w:val="0"/>
          <w:numId w:val="1"/>
        </w:numPr>
      </w:pPr>
      <w:r>
        <w:rPr>
          <w:rFonts w:ascii="Calibri" w:cs="Calibri" w:eastAsia="Calibri" w:hAnsi="Calibri"/>
        </w:rPr>
        <w:t xml:space="preserve">UK Entity Filings: First accounts for ANCEL LTD are due November 30, 2025.</w:t>
      </w:r>
    </w:p>
    <w:p>
      <w:pPr>
        <w:pStyle w:val="ListParagraph"/>
        <w:numPr>
          <w:ilvl w:val="0"/>
          <w:numId w:val="1"/>
        </w:numPr>
      </w:pPr>
      <w:r>
        <w:rPr>
          <w:rFonts w:ascii="Calibri" w:cs="Calibri" w:eastAsia="Calibri" w:hAnsi="Calibri"/>
        </w:rPr>
        <w:t xml:space="preserve">Investment Status: No known venture capital or private equity backing; likely founder-funded and self-sustaining.</w:t>
      </w:r>
    </w:p>
    <w:p>
      <w:pPr>
        <w:pStyle w:val="Heading1"/>
        <w:spacing w:before="400"/>
      </w:pPr>
      <w:r>
        <w:rPr>
          <w:rFonts w:ascii="Arial" w:cs="Arial" w:eastAsia="Arial" w:hAnsi="Arial"/>
          <w:b/>
          <w:bCs/>
          <w:color w:val="1F4788"/>
        </w:rPr>
        <w:t xml:space="preserve">4. Leadership &amp; Governance</w:t>
      </w:r>
    </w:p>
    <w:p>
      <w:r>
        <w:rPr>
          <w:rFonts w:ascii="Calibri" w:cs="Calibri" w:eastAsia="Calibri" w:hAnsi="Calibri"/>
        </w:rPr>
        <w:t xml:space="preserve">The leadership team remains largely anonymous except for founder Mr. Hao. This lack of transparency is typical for privately held Chinese-origin manufacturing brands but represents a key governance risk for institutional partners. The company's focus on 'customer service improvements' under Mr. Hao's direction has yielded mixed results in public sentiment.</w:t>
      </w:r>
    </w:p>
    <w:p>
      <w:pPr>
        <w:pStyle w:val="Heading1"/>
        <w:spacing w:before="400"/>
      </w:pPr>
      <w:r>
        <w:rPr>
          <w:rFonts w:ascii="Arial" w:cs="Arial" w:eastAsia="Arial" w:hAnsi="Arial"/>
          <w:b/>
          <w:bCs/>
          <w:color w:val="1F4788"/>
        </w:rPr>
        <w:t xml:space="preserve">5. Market Position &amp; Competition</w:t>
      </w:r>
    </w:p>
    <w:p>
      <w:r>
        <w:rPr>
          <w:rFonts w:ascii="Arial" w:cs="Arial" w:eastAsia="Arial" w:hAnsi="Arial"/>
          <w:b/>
          <w:bCs/>
          <w:sz w:val="28"/>
          <w:szCs w:val="28"/>
        </w:rPr>
        <w:t xml:space="preserve">Competitive Landscape Analysis:</w:t>
      </w:r>
    </w:p>
    <w:p>
      <w:pPr>
        <w:pStyle w:val="ListParagraph"/>
        <w:numPr>
          <w:ilvl w:val="0"/>
          <w:numId w:val="1"/>
        </w:numPr>
      </w:pPr>
      <w:r>
        <w:rPr>
          <w:rFonts w:ascii="Calibri" w:cs="Calibri" w:eastAsia="Calibri" w:hAnsi="Calibri"/>
        </w:rPr>
        <w:t xml:space="preserve">Professional Tier: Bosch, Snap-on ($5,000+). ANCEL does not compete here.</w:t>
      </w:r>
    </w:p>
    <w:p>
      <w:pPr>
        <w:pStyle w:val="ListParagraph"/>
        <w:numPr>
          <w:ilvl w:val="0"/>
          <w:numId w:val="1"/>
        </w:numPr>
      </w:pPr>
      <w:r>
        <w:rPr>
          <w:rFonts w:ascii="Calibri" w:cs="Calibri" w:eastAsia="Calibri" w:hAnsi="Calibri"/>
        </w:rPr>
        <w:t xml:space="preserve">Enterprise Tier: Autel, Launch ($1,500-$4,000). ANCEL competes on price but lacks ECU coding depth.</w:t>
      </w:r>
    </w:p>
    <w:p>
      <w:pPr>
        <w:pStyle w:val="ListParagraph"/>
        <w:numPr>
          <w:ilvl w:val="0"/>
          <w:numId w:val="1"/>
        </w:numPr>
      </w:pPr>
      <w:r>
        <w:rPr>
          <w:rFonts w:ascii="Calibri" w:cs="Calibri" w:eastAsia="Calibri" w:hAnsi="Calibri"/>
        </w:rPr>
        <w:t xml:space="preserve">DIY/Budget Tier: BlueDriver, Innova, Foxwell. This is ANCEL's core competitive arena.</w:t>
      </w:r>
    </w:p>
    <w:p>
      <w:pPr>
        <w:spacing w:before="300"/>
      </w:pPr>
      <w:r>
        <w:rPr>
          <w:rFonts w:ascii="Calibri" w:cs="Calibri" w:eastAsia="Calibri" w:hAnsi="Calibri"/>
          <w:b/>
          <w:bCs/>
        </w:rPr>
        <w:t xml:space="preserve">SWOT Analysis:</w:t>
      </w:r>
    </w:p>
    <w:p>
      <w:pPr>
        <w:pStyle w:val="ListParagraph"/>
        <w:numPr>
          <w:ilvl w:val="0"/>
          <w:numId w:val="1"/>
        </w:numPr>
      </w:pPr>
      <w:r>
        <w:rPr>
          <w:rFonts w:ascii="Calibri" w:cs="Calibri" w:eastAsia="Calibri" w:hAnsi="Calibri"/>
        </w:rPr>
        <w:t xml:space="preserve">Strengths: Massive scale (10M+ units), aggressive pricing, e-commerce dominance.</w:t>
      </w:r>
    </w:p>
    <w:p>
      <w:pPr>
        <w:pStyle w:val="ListParagraph"/>
        <w:numPr>
          <w:ilvl w:val="0"/>
          <w:numId w:val="1"/>
        </w:numPr>
      </w:pPr>
      <w:r>
        <w:rPr>
          <w:rFonts w:ascii="Calibri" w:cs="Calibri" w:eastAsia="Calibri" w:hAnsi="Calibri"/>
        </w:rPr>
        <w:t xml:space="preserve">Weaknesses: Polarized customer service reviews, subscription policy confusion, opaque leadership.</w:t>
      </w:r>
    </w:p>
    <w:p>
      <w:pPr>
        <w:pStyle w:val="ListParagraph"/>
        <w:numPr>
          <w:ilvl w:val="0"/>
          <w:numId w:val="1"/>
        </w:numPr>
      </w:pPr>
      <w:r>
        <w:rPr>
          <w:rFonts w:ascii="Calibri" w:cs="Calibri" w:eastAsia="Calibri" w:hAnsi="Calibri"/>
        </w:rPr>
        <w:t xml:space="preserve">Opportunities: Fastest-growing DIY segment (6.45% CAGR), expansion into marine/motorcycle diagnostics.</w:t>
      </w:r>
    </w:p>
    <w:p>
      <w:pPr>
        <w:pStyle w:val="ListParagraph"/>
        <w:numPr>
          <w:ilvl w:val="0"/>
          <w:numId w:val="1"/>
        </w:numPr>
      </w:pPr>
      <w:r>
        <w:rPr>
          <w:rFonts w:ascii="Calibri" w:cs="Calibri" w:eastAsia="Calibri" w:hAnsi="Calibri"/>
        </w:rPr>
        <w:t xml:space="preserve">Threats: Increasing vehicle complexity (100M+ lines of code) requiring faster R&amp;D cycles than budget brands can support.</w:t>
      </w:r>
    </w:p>
    <w:p>
      <w:pPr>
        <w:pStyle w:val="Heading1"/>
        <w:spacing w:before="400"/>
      </w:pPr>
      <w:r>
        <w:rPr>
          <w:rFonts w:ascii="Arial" w:cs="Arial" w:eastAsia="Arial" w:hAnsi="Arial"/>
          <w:b/>
          <w:bCs/>
          <w:color w:val="1F4788"/>
        </w:rPr>
        <w:t xml:space="preserve">6. Risk Assessment</w:t>
      </w:r>
    </w:p>
    <w:p>
      <w:r>
        <w:rPr>
          <w:rFonts w:ascii="Calibri" w:cs="Calibri" w:eastAsia="Calibri" w:hAnsi="Calibri"/>
        </w:rPr>
        <w:t xml:space="preserve">Key risk considerations for potential partners or investors:</w:t>
      </w:r>
    </w:p>
    <w:p>
      <w:pPr>
        <w:pStyle w:val="ListParagraph"/>
        <w:numPr>
          <w:ilvl w:val="0"/>
          <w:numId w:val="1"/>
        </w:numPr>
      </w:pPr>
      <w:r>
        <w:rPr>
          <w:rFonts w:ascii="Calibri" w:cs="Calibri" w:eastAsia="Calibri" w:hAnsi="Calibri"/>
        </w:rPr>
        <w:t xml:space="preserve">Reputational Risk: High volumes of Trustpilot complaints regarding 'bricked' devices and unresponsive support could lead to platform-level penalties on Amazon/eBay.</w:t>
      </w:r>
    </w:p>
    <w:p>
      <w:pPr>
        <w:pStyle w:val="ListParagraph"/>
        <w:numPr>
          <w:ilvl w:val="0"/>
          <w:numId w:val="1"/>
        </w:numPr>
      </w:pPr>
      <w:r>
        <w:rPr>
          <w:rFonts w:ascii="Calibri" w:cs="Calibri" w:eastAsia="Calibri" w:hAnsi="Calibri"/>
        </w:rPr>
        <w:t xml:space="preserve">Regulatory/Compliance: Cybersecurity vulnerabilities in OBD-II firmware; lack of transparency in data handling policies.</w:t>
      </w:r>
    </w:p>
    <w:p>
      <w:pPr>
        <w:pStyle w:val="ListParagraph"/>
        <w:numPr>
          <w:ilvl w:val="0"/>
          <w:numId w:val="1"/>
        </w:numPr>
      </w:pPr>
      <w:r>
        <w:rPr>
          <w:rFonts w:ascii="Calibri" w:cs="Calibri" w:eastAsia="Calibri" w:hAnsi="Calibri"/>
        </w:rPr>
        <w:t xml:space="preserve">Technical Obsolescence: Transition to Secure Gateway (SGW) modules by OEMs (FCA, Renault) restricts access for generic budget tools.</w:t>
      </w:r>
    </w:p>
    <w:p>
      <w:pPr>
        <w:pStyle w:val="Heading1"/>
        <w:spacing w:before="400"/>
      </w:pPr>
      <w:r>
        <w:rPr>
          <w:rFonts w:ascii="Arial" w:cs="Arial" w:eastAsia="Arial" w:hAnsi="Arial"/>
          <w:b/>
          <w:bCs/>
          <w:color w:val="1F4788"/>
        </w:rPr>
        <w:t xml:space="preserve">7. Conclusion &amp; Investment Considerations</w:t>
      </w:r>
    </w:p>
    <w:p>
      <w:r>
        <w:rPr>
          <w:rFonts w:ascii="Calibri" w:cs="Calibri" w:eastAsia="Calibri" w:hAnsi="Calibri"/>
        </w:rPr>
        <w:t xml:space="preserve">ANCEL is a formidable volume player in the consumer automotive diagnostic space. Its success is built on an aggressive price-to-feature ratio and early dominance of e-commerce algorithms. However, the company is currently at a crossroads between remaining a budget manufacturer or maturing into a professional-grade brand. For institutional consideration, the lack of financial visibility and the growing rift in customer trust are the primary hurdles. Investors should monitor the November 2025 UK financial filings for the first verified look at the company's fiscal health.</w:t>
      </w:r>
    </w:p>
    <w:p>
      <w:pPr>
        <w:spacing w:before="800"/>
        <w:jc w:val="center"/>
      </w:pPr>
      <w:r>
        <w:rPr>
          <w:color w:val="888888"/>
          <w:sz w:val="20"/>
          <w:szCs w:val="20"/>
        </w:rPr>
        <w:t xml:space="preserve">--- END OF REPORT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ANCEL Due Diligence Report</dc:title>
  <dc:creator>Un-named</dc:creator>
  <dc:description>Comprehensive due diligence research on ANCEL automotive diagnostics.</dc:description>
  <cp:lastModifiedBy>Un-named</cp:lastModifiedBy>
  <cp:revision>1</cp:revision>
  <dcterms:created xsi:type="dcterms:W3CDTF">2026-02-10T19:46:43.389Z</dcterms:created>
  <dcterms:modified xsi:type="dcterms:W3CDTF">2026-02-10T19:46:43.390Z</dcterms:modified>
</cp:coreProperties>
</file>

<file path=docProps/custom.xml><?xml version="1.0" encoding="utf-8"?>
<Properties xmlns="http://schemas.openxmlformats.org/officeDocument/2006/custom-properties" xmlns:vt="http://schemas.openxmlformats.org/officeDocument/2006/docPropsVTypes"/>
</file>