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agro-ecosystems is of the utmost concern. In this study, we compare three chemical herbicides, Roundup (glyphosate), Clarity (dicamba), and a tank mix of Aatrex and Calisto (atrazine and mesotrione)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r w:rsidRPr="00B3074D">
        <w:rPr>
          <w:rFonts w:ascii="Times New Roman" w:hAnsi="Times New Roman" w:cs="Times New Roman"/>
          <w:i/>
          <w:iCs/>
          <w:color w:val="000000" w:themeColor="text1"/>
        </w:rPr>
        <w:t>Zea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agro-ecosystems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 xml:space="preserve">N-(phosphonomethyl)glycine),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aggregate formation and maintenance of soil structure, contributing an estimated $330 to $500 per ha/yr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r w:rsidRPr="00B3074D">
        <w:rPr>
          <w:rFonts w:ascii="Times New Roman" w:hAnsi="Times New Roman" w:cs="Times New Roman"/>
          <w:i/>
          <w:iCs/>
          <w:color w:val="000000" w:themeColor="text1"/>
        </w:rPr>
        <w:t xml:space="preserve">Zea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Aatrex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Powermax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In the summer of 2018, 20 experimental plots at the Sustainable Agriculture Research and Extension Center (SAREC) in Lingle,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Haverson and McCook loam (i.e. HnA),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PowerMax (glyphosate, group 9), Aatrex and Callisto </w:t>
      </w:r>
      <w:r w:rsidRPr="00B3074D">
        <w:rPr>
          <w:rFonts w:ascii="Times New Roman" w:hAnsi="Times New Roman" w:cs="Times New Roman"/>
          <w:color w:val="000000" w:themeColor="text1"/>
          <w:shd w:val="clear" w:color="auto" w:fill="FFFFFF"/>
        </w:rPr>
        <w:lastRenderedPageBreak/>
        <w:t xml:space="preserve">(atrazine and mesotrione tank mix, group 5 and 27 respectively, herein referred to as Aatrex),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Roundup PowerMax 2338.5 mL/Ha, Aatrex 1169.25 mL/Ha, Callisto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Amaranthus retroflexus</w:t>
      </w:r>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r w:rsidRPr="00B3074D">
        <w:rPr>
          <w:rFonts w:ascii="Times New Roman" w:hAnsi="Times New Roman" w:cs="Times New Roman"/>
          <w:color w:val="000000" w:themeColor="text1"/>
        </w:rPr>
        <w:t>Dionex IonPac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Cations were ran on a D</w:t>
      </w:r>
      <w:r w:rsidRPr="00B3074D">
        <w:rPr>
          <w:rFonts w:ascii="Times New Roman" w:hAnsi="Times New Roman" w:cs="Times New Roman"/>
          <w:color w:val="000000" w:themeColor="text1"/>
        </w:rPr>
        <w:t>ionex IonPac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(w:v).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(BioTek</w:t>
      </w:r>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DeForest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phyllosphere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HotStart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Illumnia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without addition of TE buffer (Axygen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FlowCell mastermix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FlowCell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MagBead protocol and the Axygen’s AxyPrep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Psomagen genomic sequencing and analysis facility (Rockville, MD) on their NovaSeq6000 using paired end 2 x 250 bp chemistry with a 10% PhiX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6EC12E6C"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While soil samples collected from within the same treatment plot could be considered pseudoreplication and would violate the assumption of independent observations, we argue that pseudoreplication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123C220" w:rsidR="00B3074D" w:rsidRPr="00B3074D" w:rsidRDefault="00DB4879"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w:t>
      </w:r>
      <w:r w:rsidR="00B3074D"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00B3074D"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00B3074D"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00B3074D"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00B3074D"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00B3074D"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00B3074D"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00B3074D"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00B3074D"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PerMANOVA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0845854D"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w:t>
      </w:r>
      <w:r w:rsidR="00DB4879">
        <w:rPr>
          <w:rFonts w:ascii="Times New Roman" w:hAnsi="Times New Roman"/>
          <w:color w:val="000000" w:themeColor="text1"/>
          <w:shd w:val="clear" w:color="auto" w:fill="FFFFFF"/>
        </w:rPr>
        <w:t xml:space="preserve"> </w:t>
      </w:r>
      <w:r w:rsidR="00DB4879">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(42)","plainTextFormattedCitation":"(42)","previouslyFormattedCitation":"(42)"},"properties":{"noteIndex":0},"schema":"https://github.com/citation-style-language/schema/raw/master/csl-citation.json"}</w:instrText>
      </w:r>
      <w:r w:rsidR="00DB4879">
        <w:rPr>
          <w:rFonts w:ascii="Times New Roman" w:hAnsi="Times New Roman"/>
          <w:color w:val="000000" w:themeColor="text1"/>
          <w:shd w:val="clear" w:color="auto" w:fill="FFFFFF"/>
        </w:rPr>
        <w:fldChar w:fldCharType="separate"/>
      </w:r>
      <w:r w:rsidR="00DB4879" w:rsidRPr="00DB4879">
        <w:rPr>
          <w:rFonts w:ascii="Times New Roman" w:hAnsi="Times New Roman"/>
          <w:noProof/>
          <w:color w:val="000000" w:themeColor="text1"/>
          <w:shd w:val="clear" w:color="auto" w:fill="FFFFFF"/>
        </w:rPr>
        <w:t>(42)</w:t>
      </w:r>
      <w:r w:rsidR="00DB4879">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r w:rsidR="00CD39E7">
        <w:rPr>
          <w:rFonts w:ascii="Times New Roman" w:hAnsi="Times New Roman"/>
          <w:color w:val="000000" w:themeColor="text1"/>
          <w:shd w:val="clear" w:color="auto" w:fill="FFFFFF"/>
        </w:rPr>
        <w:t xml:space="preserve">beta_dispr() and adonis()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Again, total weedy vegetation was included in these models (Y ~ Herbicide * Time + total weedy vegetation, permutations = 1,000). Heterogeneity in microbiome composition was assessed using Bray-Curtis dissimilarities and visualized with boxplots of pairwise dissimilarities to all other members of that treatment group at that time point. </w:t>
      </w:r>
      <w:r w:rsidR="00BB31F7">
        <w:rPr>
          <w:rFonts w:ascii="Times New Roman" w:hAnsi="Times New Roman"/>
          <w:color w:val="000000" w:themeColor="text1"/>
          <w:shd w:val="clear" w:color="auto" w:fill="FFFFFF"/>
        </w:rPr>
        <w:t xml:space="preserve">Significant differences in multivariate dispersion were assessed using beta_dispr(). </w:t>
      </w:r>
      <w:r w:rsidR="002F4D3B">
        <w:rPr>
          <w:rFonts w:ascii="Times New Roman" w:hAnsi="Times New Roman"/>
          <w:color w:val="000000" w:themeColor="text1"/>
          <w:shd w:val="clear" w:color="auto" w:fill="FFFFFF"/>
        </w:rPr>
        <w:t xml:space="preserve">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w:t>
      </w:r>
      <w:r w:rsidR="00BB31F7">
        <w:rPr>
          <w:rFonts w:ascii="Times New Roman" w:hAnsi="Times New Roman"/>
          <w:color w:val="000000" w:themeColor="text1"/>
          <w:shd w:val="clear" w:color="auto" w:fill="FFFFFF"/>
        </w:rPr>
        <w:t xml:space="preserve"> or Capscale</w:t>
      </w:r>
      <w:r w:rsidR="0053582D">
        <w:rPr>
          <w:rFonts w:ascii="Times New Roman" w:hAnsi="Times New Roman"/>
          <w:color w:val="000000" w:themeColor="text1"/>
          <w:shd w:val="clear" w:color="auto" w:fill="FFFFFF"/>
        </w:rPr>
        <w:t xml:space="preserve">, implemented in the vegan and ggordiplots packages. </w:t>
      </w:r>
      <w:commentRangeStart w:id="5"/>
      <w:r w:rsidR="00BB31F7">
        <w:rPr>
          <w:rFonts w:ascii="Times New Roman" w:hAnsi="Times New Roman"/>
          <w:color w:val="000000" w:themeColor="text1"/>
          <w:shd w:val="clear" w:color="auto" w:fill="FFFFFF"/>
        </w:rPr>
        <w:t xml:space="preserve">Important taxa were </w:t>
      </w:r>
      <w:r w:rsidR="006067D4">
        <w:rPr>
          <w:rFonts w:ascii="Times New Roman" w:hAnsi="Times New Roman"/>
          <w:color w:val="000000" w:themeColor="text1"/>
          <w:shd w:val="clear" w:color="auto" w:fill="FFFFFF"/>
        </w:rPr>
        <w:t>identified</w:t>
      </w:r>
      <w:r w:rsidR="00BB31F7">
        <w:rPr>
          <w:rFonts w:ascii="Times New Roman" w:hAnsi="Times New Roman"/>
          <w:color w:val="000000" w:themeColor="text1"/>
          <w:shd w:val="clear" w:color="auto" w:fill="FFFFFF"/>
        </w:rPr>
        <w:t xml:space="preserve"> via </w:t>
      </w:r>
      <w:r w:rsidR="006067D4">
        <w:rPr>
          <w:rFonts w:ascii="Times New Roman" w:hAnsi="Times New Roman"/>
          <w:color w:val="000000" w:themeColor="text1"/>
          <w:shd w:val="clear" w:color="auto" w:fill="FFFFFF"/>
        </w:rPr>
        <w:t xml:space="preserve">Baruta classification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(43)","plainTextFormattedCitation":"(43)","previouslyFormattedCitation":"(43)"},"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(43)</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xml:space="preserve">, </w:t>
      </w:r>
      <w:r w:rsidR="006067D4">
        <w:rPr>
          <w:rFonts w:ascii="Times New Roman" w:hAnsi="Times New Roman"/>
          <w:color w:val="000000" w:themeColor="text1"/>
          <w:shd w:val="clear" w:color="auto" w:fill="FFFFFF"/>
        </w:rPr>
        <w:t xml:space="preserve">simper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(44)"},"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(40)</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and taking the top 25 most abundant</w:t>
      </w:r>
      <w:r w:rsidR="00BB31F7">
        <w:rPr>
          <w:rFonts w:ascii="Times New Roman" w:hAnsi="Times New Roman"/>
          <w:color w:val="000000" w:themeColor="text1"/>
          <w:shd w:val="clear" w:color="auto" w:fill="FFFFFF"/>
        </w:rPr>
        <w:t>.</w:t>
      </w:r>
      <w:r w:rsidR="006067D4">
        <w:rPr>
          <w:rFonts w:ascii="Times New Roman" w:hAnsi="Times New Roman"/>
          <w:color w:val="000000" w:themeColor="text1"/>
          <w:shd w:val="clear" w:color="auto" w:fill="FFFFFF"/>
        </w:rPr>
        <w:t xml:space="preserve"> Taxa identified were then modeled using zero-inflated beta regression with time and weed removal treatment as fixed effects.  </w:t>
      </w:r>
      <w:r w:rsidR="0053582D">
        <w:rPr>
          <w:rFonts w:ascii="Times New Roman" w:hAnsi="Times New Roman"/>
          <w:color w:val="000000" w:themeColor="text1"/>
          <w:shd w:val="clear" w:color="auto" w:fill="FFFFFF"/>
        </w:rPr>
        <w:t xml:space="preserve"> </w:t>
      </w:r>
      <w:commentRangeEnd w:id="5"/>
      <w:r w:rsidR="00BB31F7">
        <w:rPr>
          <w:rStyle w:val="CommentReference"/>
          <w:rFonts w:ascii="Times New Roman" w:eastAsia="Times New Roman" w:hAnsi="Times New Roman" w:cs="Times New Roman"/>
          <w:color w:val="000000"/>
          <w:lang w:eastAsia="de-DE"/>
        </w:rPr>
        <w:commentReference w:id="5"/>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7"/>
      <w:commentRangeStart w:id="8"/>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8"/>
      <w:r w:rsidR="0014353D" w:rsidRPr="002F4D3B">
        <w:rPr>
          <w:rStyle w:val="CommentReference"/>
          <w:rFonts w:ascii="Times New Roman" w:eastAsia="Times New Roman" w:hAnsi="Times New Roman" w:cs="Times New Roman"/>
          <w:color w:val="000000"/>
          <w:highlight w:val="yellow"/>
          <w:lang w:eastAsia="de-DE"/>
        </w:rPr>
        <w:commentReference w:id="8"/>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nitrate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RoundUp Powermax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Aatrex treated plots (p &lt; 0.05). We observed the same trend at sampling time two, but the differences were only marginally significant (p  &lt;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Pairwise contrasts 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w:t>
      </w:r>
      <w:r w:rsidR="00B3074D" w:rsidRPr="00B3074D">
        <w:rPr>
          <w:rFonts w:ascii="Times New Roman" w:hAnsi="Times New Roman" w:cs="Times New Roman"/>
          <w:color w:val="000000" w:themeColor="text1"/>
          <w:shd w:val="clear" w:color="auto" w:fill="FFFFFF"/>
        </w:rPr>
        <w:lastRenderedPageBreak/>
        <w:t>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were limited to PHOS activity and the ratio of N:P cycling enzymes, with the nontreated plots having higher initial PHOS activity as compared to the handweeded plots, and lower N:P ratio as compared to the handweeded and Aatrex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RoundUp treated plots</w:t>
      </w:r>
      <w:r w:rsidRPr="00B3074D">
        <w:rPr>
          <w:rFonts w:ascii="Times New Roman" w:hAnsi="Times New Roman" w:cs="Times New Roman"/>
          <w:color w:val="000000" w:themeColor="text1"/>
          <w:shd w:val="clear" w:color="auto" w:fill="FFFFFF"/>
        </w:rPr>
        <w:t xml:space="preserve">. The Aatrex,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w:t>
      </w:r>
      <w:r w:rsidRPr="00B3074D">
        <w:rPr>
          <w:rFonts w:ascii="Times New Roman" w:hAnsi="Times New Roman" w:cs="Times New Roman"/>
          <w:color w:val="000000" w:themeColor="text1"/>
          <w:shd w:val="clear" w:color="auto" w:fill="FFFFFF"/>
        </w:rPr>
        <w:lastRenderedPageBreak/>
        <w:t xml:space="preserve">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Powermax plots (p &lt; 0.05). No correlation was found between phosphate ion concentration and PHOS activity when considering all plots (p &gt; 0.9, r = 0.011). In addition to 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w:t>
      </w:r>
      <w:r w:rsidR="002F4D3B">
        <w:rPr>
          <w:rFonts w:ascii="Times New Roman" w:hAnsi="Times New Roman" w:cs="Times New Roman"/>
          <w:i/>
          <w:iCs/>
          <w:color w:val="000000" w:themeColor="text1"/>
          <w:shd w:val="clear" w:color="auto" w:fill="FFFFFF"/>
        </w:rPr>
        <w:t>l diversity</w:t>
      </w:r>
    </w:p>
    <w:p w14:paraId="558724E7" w14:textId="1FC77818" w:rsidR="004D203E"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w:t>
      </w:r>
      <w:r w:rsidR="004D203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4D203E">
        <w:rPr>
          <w:rFonts w:ascii="Times New Roman" w:hAnsi="Times New Roman" w:cs="Times New Roman"/>
          <w:color w:val="000000" w:themeColor="text1"/>
          <w:shd w:val="clear" w:color="auto" w:fill="FFFFFF"/>
        </w:rPr>
        <w:t xml:space="preserve">After outlier removal, </w:t>
      </w:r>
      <w:r>
        <w:rPr>
          <w:rFonts w:ascii="Times New Roman" w:hAnsi="Times New Roman" w:cs="Times New Roman"/>
          <w:color w:val="000000" w:themeColor="text1"/>
          <w:shd w:val="clear" w:color="auto" w:fill="FFFFFF"/>
        </w:rPr>
        <w:t>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w:t>
      </w:r>
      <w:r w:rsidR="004D203E">
        <w:rPr>
          <w:rFonts w:ascii="Times New Roman" w:hAnsi="Times New Roman" w:cs="Times New Roman"/>
          <w:color w:val="000000" w:themeColor="text1"/>
          <w:shd w:val="clear" w:color="auto" w:fill="FFFFFF"/>
        </w:rPr>
        <w:t>were</w:t>
      </w:r>
      <w:r>
        <w:rPr>
          <w:rFonts w:ascii="Times New Roman" w:hAnsi="Times New Roman" w:cs="Times New Roman"/>
          <w:color w:val="000000" w:themeColor="text1"/>
          <w:shd w:val="clear" w:color="auto" w:fill="FFFFFF"/>
        </w:rPr>
        <w:t xml:space="preserve"> included in downstream analysis</w:t>
      </w:r>
      <w:r w:rsidR="004D203E">
        <w:rPr>
          <w:rFonts w:ascii="Times New Roman" w:hAnsi="Times New Roman" w:cs="Times New Roman"/>
          <w:color w:val="000000" w:themeColor="text1"/>
          <w:shd w:val="clear" w:color="auto" w:fill="FFFFFF"/>
        </w:rPr>
        <w:t>. R</w:t>
      </w:r>
      <w:r w:rsidR="002F4D3B" w:rsidRPr="002F4D3B">
        <w:rPr>
          <w:rFonts w:ascii="Times New Roman" w:hAnsi="Times New Roman" w:cs="Times New Roman"/>
          <w:color w:val="000000" w:themeColor="text1"/>
          <w:shd w:val="clear" w:color="auto" w:fill="FFFFFF"/>
        </w:rPr>
        <w:t xml:space="preserve">arefied results </w:t>
      </w:r>
      <w:r w:rsidR="004D203E">
        <w:rPr>
          <w:rFonts w:ascii="Times New Roman" w:hAnsi="Times New Roman" w:cs="Times New Roman"/>
          <w:color w:val="000000" w:themeColor="text1"/>
          <w:shd w:val="clear" w:color="auto" w:fill="FFFFFF"/>
        </w:rPr>
        <w:t xml:space="preserve">are </w:t>
      </w:r>
      <w:r w:rsidR="002F4D3B"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3381F">
        <w:rPr>
          <w:rFonts w:ascii="Times New Roman" w:hAnsi="Times New Roman" w:cs="Times New Roman"/>
          <w:color w:val="000000" w:themeColor="text1"/>
          <w:shd w:val="clear" w:color="auto" w:fill="FFFFFF"/>
        </w:rPr>
        <w:t>Adonis</w:t>
      </w:r>
      <w:r w:rsidR="00CD39E7">
        <w:rPr>
          <w:rFonts w:ascii="Times New Roman" w:hAnsi="Times New Roman" w:cs="Times New Roman"/>
          <w:color w:val="000000" w:themeColor="text1"/>
          <w:shd w:val="clear" w:color="auto" w:fill="FFFFFF"/>
        </w:rPr>
        <w:t xml:space="preserve">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w:t>
      </w:r>
      <w:r w:rsidR="002970C2">
        <w:rPr>
          <w:rFonts w:ascii="Times New Roman" w:hAnsi="Times New Roman" w:cs="Times New Roman"/>
          <w:color w:val="000000" w:themeColor="text1"/>
          <w:shd w:val="clear" w:color="auto" w:fill="FFFFFF"/>
        </w:rPr>
        <w:t xml:space="preserve"> but was </w:t>
      </w:r>
      <w:r w:rsidR="00B146B2">
        <w:rPr>
          <w:rFonts w:ascii="Times New Roman" w:hAnsi="Times New Roman" w:cs="Times New Roman"/>
          <w:color w:val="000000" w:themeColor="text1"/>
          <w:shd w:val="clear" w:color="auto" w:fill="FFFFFF"/>
        </w:rPr>
        <w:t>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taxon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w:t>
      </w:r>
      <w:r w:rsidR="004D203E">
        <w:rPr>
          <w:rFonts w:ascii="Times New Roman" w:hAnsi="Times New Roman" w:cs="Times New Roman"/>
          <w:color w:val="000000" w:themeColor="text1"/>
          <w:shd w:val="clear" w:color="auto" w:fill="FFFFFF"/>
        </w:rPr>
        <w:t xml:space="preserve">handweeded plots to be different from </w:t>
      </w:r>
      <w:r w:rsidR="009A38F8">
        <w:rPr>
          <w:rFonts w:ascii="Times New Roman" w:hAnsi="Times New Roman" w:cs="Times New Roman"/>
          <w:color w:val="000000" w:themeColor="text1"/>
          <w:shd w:val="clear" w:color="auto" w:fill="FFFFFF"/>
        </w:rPr>
        <w:t>Clarity</w:t>
      </w:r>
      <w:r w:rsidR="004D203E">
        <w:rPr>
          <w:rFonts w:ascii="Times New Roman" w:hAnsi="Times New Roman" w:cs="Times New Roman"/>
          <w:color w:val="000000" w:themeColor="text1"/>
          <w:shd w:val="clear" w:color="auto" w:fill="FFFFFF"/>
        </w:rPr>
        <w:t xml:space="preserve"> at all three time points and Aatrex at times one and three (p &lt; 0.05)</w:t>
      </w:r>
      <w:r w:rsidR="009A38F8">
        <w:rPr>
          <w:rFonts w:ascii="Times New Roman" w:hAnsi="Times New Roman" w:cs="Times New Roman"/>
          <w:color w:val="000000" w:themeColor="text1"/>
          <w:shd w:val="clear" w:color="auto" w:fill="FFFFFF"/>
        </w:rPr>
        <w:t xml:space="preserve"> </w:t>
      </w:r>
    </w:p>
    <w:p w14:paraId="30B76C5B" w14:textId="17AC57F2" w:rsidR="004D203E" w:rsidRDefault="00CA3F7E" w:rsidP="004D203E">
      <w:pPr>
        <w:spacing w:line="480" w:lineRule="auto"/>
        <w:ind w:firstLine="720"/>
        <w:rPr>
          <w:rFonts w:ascii="Times New Roman" w:hAnsi="Times New Roman" w:cs="Times New Roman"/>
          <w:color w:val="000000" w:themeColor="text1"/>
          <w:shd w:val="clear" w:color="auto" w:fill="FFFFFF"/>
        </w:rPr>
      </w:pPr>
      <w:r w:rsidRPr="0099796C">
        <w:rPr>
          <w:rFonts w:ascii="Times New Roman" w:hAnsi="Times New Roman" w:cs="Times New Roman"/>
          <w:color w:val="000000" w:themeColor="text1"/>
          <w:shd w:val="clear" w:color="auto" w:fill="FFFFFF"/>
        </w:rPr>
        <w:t>Comparison of</w:t>
      </w:r>
      <w:r w:rsidR="00D57637" w:rsidRPr="0099796C">
        <w:rPr>
          <w:rFonts w:ascii="Times New Roman" w:hAnsi="Times New Roman" w:cs="Times New Roman"/>
          <w:color w:val="000000" w:themeColor="text1"/>
          <w:shd w:val="clear" w:color="auto" w:fill="FFFFFF"/>
        </w:rPr>
        <w:t xml:space="preserve"> multivariate spread using</w:t>
      </w:r>
      <w:r w:rsidRPr="0099796C">
        <w:rPr>
          <w:rFonts w:ascii="Times New Roman" w:hAnsi="Times New Roman" w:cs="Times New Roman"/>
          <w:color w:val="000000" w:themeColor="text1"/>
          <w:shd w:val="clear" w:color="auto" w:fill="FFFFFF"/>
        </w:rPr>
        <w:t xml:space="preserve"> Bray-Curtis dissimilarity revealed </w:t>
      </w:r>
      <w:r w:rsidR="004D203E" w:rsidRPr="0099796C">
        <w:rPr>
          <w:rFonts w:ascii="Times New Roman" w:hAnsi="Times New Roman" w:cs="Times New Roman"/>
          <w:color w:val="000000" w:themeColor="text1"/>
          <w:shd w:val="clear" w:color="auto" w:fill="FFFFFF"/>
        </w:rPr>
        <w:t xml:space="preserve">treatment type specific trends. </w:t>
      </w:r>
      <w:r w:rsidR="00532539" w:rsidRPr="0099796C">
        <w:rPr>
          <w:rFonts w:ascii="Times New Roman" w:hAnsi="Times New Roman" w:cs="Times New Roman"/>
          <w:color w:val="000000" w:themeColor="text1"/>
          <w:shd w:val="clear" w:color="auto" w:fill="FFFFFF"/>
        </w:rPr>
        <w:t>Roundup and Aatrex treated plots showed a homogenization of their bacterial community</w:t>
      </w:r>
      <w:r w:rsidR="00B82EAF" w:rsidRPr="0099796C">
        <w:rPr>
          <w:rFonts w:ascii="Times New Roman" w:hAnsi="Times New Roman" w:cs="Times New Roman"/>
          <w:color w:val="000000" w:themeColor="text1"/>
          <w:shd w:val="clear" w:color="auto" w:fill="FFFFFF"/>
        </w:rPr>
        <w:t xml:space="preserve"> over the </w:t>
      </w:r>
      <w:r w:rsidR="004D203E" w:rsidRPr="0099796C">
        <w:rPr>
          <w:rFonts w:ascii="Times New Roman" w:hAnsi="Times New Roman" w:cs="Times New Roman"/>
          <w:color w:val="000000" w:themeColor="text1"/>
          <w:shd w:val="clear" w:color="auto" w:fill="FFFFFF"/>
        </w:rPr>
        <w:t>twenty-day</w:t>
      </w:r>
      <w:r w:rsidR="00B82EAF" w:rsidRPr="0099796C">
        <w:rPr>
          <w:rFonts w:ascii="Times New Roman" w:hAnsi="Times New Roman" w:cs="Times New Roman"/>
          <w:color w:val="000000" w:themeColor="text1"/>
          <w:shd w:val="clear" w:color="auto" w:fill="FFFFFF"/>
        </w:rPr>
        <w:t xml:space="preserve"> sampling period (p &lt; 0.057)</w:t>
      </w:r>
      <w:r w:rsidR="00532539" w:rsidRPr="0099796C">
        <w:rPr>
          <w:rFonts w:ascii="Times New Roman" w:hAnsi="Times New Roman" w:cs="Times New Roman"/>
          <w:color w:val="000000" w:themeColor="text1"/>
          <w:shd w:val="clear" w:color="auto" w:fill="FFFFFF"/>
        </w:rPr>
        <w:t>, while the handweeded and nontreated plots showed a</w:t>
      </w:r>
      <w:r w:rsidR="00B82EAF" w:rsidRPr="0099796C">
        <w:rPr>
          <w:rFonts w:ascii="Times New Roman" w:hAnsi="Times New Roman" w:cs="Times New Roman"/>
          <w:color w:val="000000" w:themeColor="text1"/>
          <w:shd w:val="clear" w:color="auto" w:fill="FFFFFF"/>
        </w:rPr>
        <w:t xml:space="preserve"> trend of </w:t>
      </w:r>
      <w:r w:rsidR="00532539" w:rsidRPr="0099796C">
        <w:rPr>
          <w:rFonts w:ascii="Times New Roman" w:hAnsi="Times New Roman" w:cs="Times New Roman"/>
          <w:color w:val="000000" w:themeColor="text1"/>
          <w:shd w:val="clear" w:color="auto" w:fill="FFFFFF"/>
        </w:rPr>
        <w:t>increase</w:t>
      </w:r>
      <w:r w:rsidR="00B82EAF" w:rsidRPr="0099796C">
        <w:rPr>
          <w:rFonts w:ascii="Times New Roman" w:hAnsi="Times New Roman" w:cs="Times New Roman"/>
          <w:color w:val="000000" w:themeColor="text1"/>
          <w:shd w:val="clear" w:color="auto" w:fill="FFFFFF"/>
        </w:rPr>
        <w:t>d</w:t>
      </w:r>
      <w:r w:rsidR="00532539" w:rsidRPr="0099796C">
        <w:rPr>
          <w:rFonts w:ascii="Times New Roman" w:hAnsi="Times New Roman" w:cs="Times New Roman"/>
          <w:color w:val="000000" w:themeColor="text1"/>
          <w:shd w:val="clear" w:color="auto" w:fill="FFFFFF"/>
        </w:rPr>
        <w:t xml:space="preserve"> heterogeneity</w:t>
      </w:r>
      <w:r w:rsidR="00B82EAF" w:rsidRPr="0099796C">
        <w:rPr>
          <w:rFonts w:ascii="Times New Roman" w:hAnsi="Times New Roman" w:cs="Times New Roman"/>
          <w:color w:val="000000" w:themeColor="text1"/>
          <w:shd w:val="clear" w:color="auto" w:fill="FFFFFF"/>
        </w:rPr>
        <w:t>, though this was not statistically significant</w:t>
      </w:r>
      <w:r w:rsidR="00532539" w:rsidRPr="0099796C">
        <w:rPr>
          <w:rFonts w:ascii="Times New Roman" w:hAnsi="Times New Roman" w:cs="Times New Roman"/>
          <w:color w:val="000000" w:themeColor="text1"/>
          <w:shd w:val="clear" w:color="auto" w:fill="FFFFFF"/>
        </w:rPr>
        <w:t xml:space="preserve"> (Figure 2 – column 2).</w:t>
      </w:r>
      <w:r w:rsidR="00B82EAF"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When all chemical treatments were combined,</w:t>
      </w:r>
      <w:r w:rsidRPr="0099796C">
        <w:rPr>
          <w:rFonts w:ascii="Times New Roman" w:hAnsi="Times New Roman" w:cs="Times New Roman"/>
          <w:color w:val="000000" w:themeColor="text1"/>
          <w:shd w:val="clear" w:color="auto" w:fill="FFFFFF"/>
        </w:rPr>
        <w:t xml:space="preserve"> the </w:t>
      </w:r>
      <w:r w:rsidR="00D57637" w:rsidRPr="0099796C">
        <w:rPr>
          <w:rFonts w:ascii="Times New Roman" w:hAnsi="Times New Roman" w:cs="Times New Roman"/>
          <w:color w:val="000000" w:themeColor="text1"/>
          <w:shd w:val="clear" w:color="auto" w:fill="FFFFFF"/>
        </w:rPr>
        <w:t xml:space="preserve">chemical treated plots </w:t>
      </w:r>
      <w:r w:rsidRPr="0099796C">
        <w:rPr>
          <w:rFonts w:ascii="Times New Roman" w:hAnsi="Times New Roman" w:cs="Times New Roman"/>
          <w:color w:val="000000" w:themeColor="text1"/>
          <w:shd w:val="clear" w:color="auto" w:fill="FFFFFF"/>
        </w:rPr>
        <w:t>displayed a</w:t>
      </w:r>
      <w:r w:rsidR="00D57637" w:rsidRPr="0099796C">
        <w:rPr>
          <w:rFonts w:ascii="Times New Roman" w:hAnsi="Times New Roman" w:cs="Times New Roman"/>
          <w:color w:val="000000" w:themeColor="text1"/>
          <w:shd w:val="clear" w:color="auto" w:fill="FFFFFF"/>
        </w:rPr>
        <w:t xml:space="preserve"> higher level of multivariate spread </w:t>
      </w:r>
      <w:r w:rsidRPr="0099796C">
        <w:rPr>
          <w:rFonts w:ascii="Times New Roman" w:hAnsi="Times New Roman" w:cs="Times New Roman"/>
          <w:color w:val="000000" w:themeColor="text1"/>
          <w:shd w:val="clear" w:color="auto" w:fill="FFFFFF"/>
        </w:rPr>
        <w:t>as compared to the</w:t>
      </w:r>
      <w:r w:rsidR="00D57637" w:rsidRPr="0099796C">
        <w:rPr>
          <w:rFonts w:ascii="Times New Roman" w:hAnsi="Times New Roman" w:cs="Times New Roman"/>
          <w:color w:val="000000" w:themeColor="text1"/>
          <w:shd w:val="clear" w:color="auto" w:fill="FFFFFF"/>
        </w:rPr>
        <w:t xml:space="preserve"> non-treated and handweeded plots</w:t>
      </w:r>
      <w:r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 xml:space="preserve">at sampling time one </w:t>
      </w:r>
      <w:r w:rsidRPr="0099796C">
        <w:rPr>
          <w:rFonts w:ascii="Times New Roman" w:hAnsi="Times New Roman" w:cs="Times New Roman"/>
          <w:color w:val="000000" w:themeColor="text1"/>
          <w:shd w:val="clear" w:color="auto" w:fill="FFFFFF"/>
        </w:rPr>
        <w:t xml:space="preserve">(p &lt; 0.01). </w:t>
      </w:r>
      <w:r w:rsidR="00532539" w:rsidRPr="0099796C">
        <w:rPr>
          <w:rFonts w:ascii="Times New Roman" w:hAnsi="Times New Roman" w:cs="Times New Roman"/>
          <w:color w:val="000000" w:themeColor="text1"/>
          <w:shd w:val="clear" w:color="auto" w:fill="FFFFFF"/>
        </w:rPr>
        <w:t>Over the next 20-days,</w:t>
      </w:r>
      <w:r w:rsidR="004D203E"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this declined</w:t>
      </w:r>
      <w:r w:rsidR="004D203E" w:rsidRPr="0099796C">
        <w:rPr>
          <w:rFonts w:ascii="Times New Roman" w:hAnsi="Times New Roman" w:cs="Times New Roman"/>
          <w:color w:val="000000" w:themeColor="text1"/>
          <w:shd w:val="clear" w:color="auto" w:fill="FFFFFF"/>
        </w:rPr>
        <w:t>,</w:t>
      </w:r>
      <w:r w:rsidR="00532539" w:rsidRPr="0099796C">
        <w:rPr>
          <w:rFonts w:ascii="Times New Roman" w:hAnsi="Times New Roman" w:cs="Times New Roman"/>
          <w:color w:val="000000" w:themeColor="text1"/>
          <w:shd w:val="clear" w:color="auto" w:fill="FFFFFF"/>
        </w:rPr>
        <w:t xml:space="preserve"> and at the final sampling, all groups showed similar levels of multivariate spread (Figure </w:t>
      </w:r>
      <w:r w:rsidR="00532539" w:rsidRPr="0099796C">
        <w:rPr>
          <w:rFonts w:ascii="Times New Roman" w:hAnsi="Times New Roman" w:cs="Times New Roman"/>
          <w:color w:val="FF0000"/>
          <w:shd w:val="clear" w:color="auto" w:fill="FFFFFF"/>
        </w:rPr>
        <w:t>XX</w:t>
      </w:r>
      <w:r w:rsidR="00532539" w:rsidRPr="0099796C">
        <w:rPr>
          <w:rFonts w:ascii="Times New Roman" w:hAnsi="Times New Roman" w:cs="Times New Roman"/>
          <w:color w:val="000000" w:themeColor="text1"/>
          <w:shd w:val="clear" w:color="auto" w:fill="FFFFFF"/>
        </w:rPr>
        <w:t xml:space="preserve">). </w:t>
      </w:r>
      <w:r w:rsidR="0099796C">
        <w:rPr>
          <w:rFonts w:ascii="Times New Roman" w:hAnsi="Times New Roman" w:cs="Times New Roman"/>
          <w:color w:val="000000" w:themeColor="text1"/>
          <w:shd w:val="clear" w:color="auto" w:fill="FFFFFF"/>
        </w:rPr>
        <w:t xml:space="preserve">In the </w:t>
      </w:r>
      <w:r w:rsidR="0099796C">
        <w:rPr>
          <w:rFonts w:ascii="Times New Roman" w:hAnsi="Times New Roman" w:cs="Times New Roman"/>
          <w:color w:val="000000" w:themeColor="text1"/>
          <w:shd w:val="clear" w:color="auto" w:fill="FFFFFF"/>
        </w:rPr>
        <w:lastRenderedPageBreak/>
        <w:t>control plots, m</w:t>
      </w:r>
      <w:r w:rsidR="00532539" w:rsidRPr="0099796C">
        <w:rPr>
          <w:rFonts w:ascii="Times New Roman" w:hAnsi="Times New Roman" w:cs="Times New Roman"/>
          <w:color w:val="000000" w:themeColor="text1"/>
          <w:shd w:val="clear" w:color="auto" w:fill="FFFFFF"/>
        </w:rPr>
        <w:t xml:space="preserve">ultivariate spread remained constant </w:t>
      </w:r>
      <w:r w:rsidR="0099796C">
        <w:rPr>
          <w:rFonts w:ascii="Times New Roman" w:hAnsi="Times New Roman" w:cs="Times New Roman"/>
          <w:color w:val="000000" w:themeColor="text1"/>
          <w:shd w:val="clear" w:color="auto" w:fill="FFFFFF"/>
        </w:rPr>
        <w:t>across</w:t>
      </w:r>
      <w:r w:rsidR="00532539" w:rsidRPr="0099796C">
        <w:rPr>
          <w:rFonts w:ascii="Times New Roman" w:hAnsi="Times New Roman" w:cs="Times New Roman"/>
          <w:color w:val="000000" w:themeColor="text1"/>
          <w:shd w:val="clear" w:color="auto" w:fill="FFFFFF"/>
        </w:rPr>
        <w:t xml:space="preserve"> the three sampling times but decreased significantly in the chemical treated plots</w:t>
      </w:r>
      <w:r w:rsidR="004D203E" w:rsidRPr="0099796C">
        <w:rPr>
          <w:rFonts w:ascii="Times New Roman" w:hAnsi="Times New Roman" w:cs="Times New Roman"/>
          <w:color w:val="000000" w:themeColor="text1"/>
          <w:shd w:val="clear" w:color="auto" w:fill="FFFFFF"/>
        </w:rPr>
        <w:t>.</w:t>
      </w:r>
      <w:r w:rsidR="00532539">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p>
    <w:p w14:paraId="4D9C0E64" w14:textId="4441F095" w:rsidR="0053582D" w:rsidRPr="00B82EAF" w:rsidRDefault="00E311F4" w:rsidP="004D203E">
      <w:pPr>
        <w:spacing w:line="480" w:lineRule="auto"/>
        <w:ind w:firstLine="720"/>
        <w:rPr>
          <w:rFonts w:ascii="Times New Roman" w:hAnsi="Times New Roman" w:cs="Times New Roman"/>
          <w:color w:val="000000" w:themeColor="text1"/>
          <w:highlight w:val="green"/>
          <w:shd w:val="clear" w:color="auto" w:fill="FFFFFF"/>
        </w:rPr>
      </w:pPr>
      <w:r>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Pr>
          <w:rFonts w:ascii="Times New Roman" w:hAnsi="Times New Roman" w:cs="Times New Roman"/>
          <w:color w:val="000000" w:themeColor="text1"/>
          <w:shd w:val="clear" w:color="auto" w:fill="FFFFFF"/>
        </w:rPr>
        <w:t xml:space="preserve"> over time were detected in all treatment types, with </w:t>
      </w:r>
      <w:commentRangeStart w:id="9"/>
      <w:r w:rsidR="00CA3F7E">
        <w:rPr>
          <w:rFonts w:ascii="Times New Roman" w:hAnsi="Times New Roman" w:cs="Times New Roman"/>
          <w:color w:val="000000" w:themeColor="text1"/>
          <w:shd w:val="clear" w:color="auto" w:fill="FFFFFF"/>
        </w:rPr>
        <w:t>Shpingomonadacae</w:t>
      </w:r>
      <w:commentRangeEnd w:id="9"/>
      <w:r w:rsidR="00CA3F7E">
        <w:rPr>
          <w:rStyle w:val="CommentReference"/>
          <w:rFonts w:ascii="Times New Roman" w:eastAsia="Times New Roman" w:hAnsi="Times New Roman" w:cs="Times New Roman"/>
          <w:color w:val="000000"/>
          <w:lang w:eastAsia="de-DE"/>
        </w:rPr>
        <w:commentReference w:id="9"/>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10" w:name="OLE_LINK1"/>
      <w:bookmarkStart w:id="11"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10"/>
      <w:bookmarkEnd w:id="11"/>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2"/>
      <w:r w:rsidR="00B42E0E" w:rsidRPr="00B42E0E">
        <w:rPr>
          <w:rFonts w:ascii="Times New Roman" w:hAnsi="Times New Roman" w:cs="Times New Roman"/>
          <w:color w:val="000000" w:themeColor="text1"/>
          <w:shd w:val="clear" w:color="auto" w:fill="FFFFFF"/>
        </w:rPr>
        <w:t>Ceratobasidiaceae</w:t>
      </w:r>
      <w:r w:rsidR="00B42E0E">
        <w:rPr>
          <w:rFonts w:ascii="Times New Roman" w:hAnsi="Times New Roman" w:cs="Times New Roman"/>
          <w:color w:val="000000" w:themeColor="text1"/>
          <w:shd w:val="clear" w:color="auto" w:fill="FFFFFF"/>
        </w:rPr>
        <w:t xml:space="preserve"> in the Roundup Powermax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2"/>
      <w:r w:rsidR="00B42E0E">
        <w:rPr>
          <w:rStyle w:val="CommentReference"/>
          <w:rFonts w:ascii="Times New Roman" w:eastAsia="Times New Roman" w:hAnsi="Times New Roman" w:cs="Times New Roman"/>
          <w:color w:val="000000"/>
          <w:lang w:eastAsia="de-DE"/>
        </w:rPr>
        <w:commentReference w:id="12"/>
      </w:r>
      <w:bookmarkStart w:id="13" w:name="_Toc71026836"/>
    </w:p>
    <w:p w14:paraId="1EB24B3A" w14:textId="4D58F5A9" w:rsidR="00B3074D" w:rsidRPr="00B3074D" w:rsidRDefault="00B3074D" w:rsidP="00B3074D">
      <w:pPr>
        <w:pStyle w:val="headingdissertation"/>
        <w:spacing w:line="480" w:lineRule="auto"/>
      </w:pPr>
      <w:r w:rsidRPr="00B3074D">
        <w:t>Discussion</w:t>
      </w:r>
      <w:bookmarkEnd w:id="13"/>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lastRenderedPageBreak/>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37C1CF00"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Powermax treated plots </w:t>
      </w:r>
      <w:r w:rsidR="009B3670"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(44)","plainTextFormattedCitation":"(44)","previouslyFormattedCitation":"(45)"},"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(44)</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w:t>
      </w:r>
      <w:r w:rsidRPr="00B3074D">
        <w:rPr>
          <w:rFonts w:ascii="Times New Roman" w:hAnsi="Times New Roman" w:cs="Times New Roman"/>
          <w:color w:val="000000" w:themeColor="text1"/>
          <w:shd w:val="clear" w:color="auto" w:fill="FFFFFF"/>
        </w:rPr>
        <w:lastRenderedPageBreak/>
        <w:t xml:space="preserve">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(45)","plainTextFormattedCitation":"(45)","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27E33731"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handweeded and Roundup) over twenty weeks</w:t>
      </w:r>
      <w:r w:rsidR="009B3670">
        <w:rPr>
          <w:rFonts w:ascii="Times New Roman" w:hAnsi="Times New Roman" w:cs="Times New Roman"/>
          <w:color w:val="000000" w:themeColor="text1"/>
          <w:shd w:val="clear" w:color="auto" w:fill="FFFFFF"/>
        </w:rPr>
        <w:t xml:space="preserve"> </w:t>
      </w:r>
      <w:bookmarkStart w:id="14" w:name="OLE_LINK5"/>
      <w:bookmarkStart w:id="15"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4"/>
      <w:bookmarkEnd w:id="15"/>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Hagner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r w:rsidR="00B3074D" w:rsidRPr="00B3074D">
        <w:rPr>
          <w:rFonts w:ascii="Times New Roman" w:hAnsi="Times New Roman" w:cs="Times New Roman"/>
          <w:i/>
          <w:iCs/>
          <w:color w:val="000000" w:themeColor="text1"/>
          <w:shd w:val="clear" w:color="auto" w:fill="FFFFFF"/>
        </w:rPr>
        <w:t>Zea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46)","plainTextFormattedCitation":"(19, 20, 46)","previouslyFormattedCitation":"(19, 20, 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(19, 20, 46)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Hagner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2DA1E3EC"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Aatrex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(47)","plainTextFormattedCitation":"(47)","previouslyFormattedCitation":"(48)"},"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(47)</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w:t>
      </w:r>
      <w:r w:rsidRPr="00B3074D">
        <w:rPr>
          <w:rFonts w:ascii="Times New Roman" w:hAnsi="Times New Roman" w:cs="Times New Roman"/>
          <w:color w:val="000000" w:themeColor="text1"/>
          <w:shd w:val="clear" w:color="auto" w:fill="FFFFFF"/>
        </w:rPr>
        <w:lastRenderedPageBreak/>
        <w:t xml:space="preserve">inorganic N pool over the twenty days post-application in the </w:t>
      </w:r>
      <w:r w:rsidRPr="00B3074D">
        <w:rPr>
          <w:rFonts w:ascii="Times New Roman" w:hAnsi="Times New Roman" w:cs="Times New Roman"/>
          <w:color w:val="000000" w:themeColor="text1"/>
        </w:rPr>
        <w:t>Aatrex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Zea mays, and other weedy vegetation may also be partially responsible for a reduction in inorganic N via uptake and immobilization in plant biomass. </w:t>
      </w:r>
      <w:commentRangeStart w:id="16"/>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6"/>
      <w:r w:rsidR="009F7052">
        <w:rPr>
          <w:rStyle w:val="CommentReference"/>
          <w:rFonts w:ascii="Times New Roman" w:eastAsia="Times New Roman" w:hAnsi="Times New Roman" w:cs="Times New Roman"/>
          <w:color w:val="000000"/>
          <w:lang w:eastAsia="de-DE"/>
        </w:rPr>
        <w:commentReference w:id="16"/>
      </w:r>
    </w:p>
    <w:p w14:paraId="59CB79C0" w14:textId="53381B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(48)","plainTextFormattedCitation":"(48)","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(49)","plainTextFormattedCitation":"(49)","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75ADC640"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Powermax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(50)","plainTextFormattedCitation":"(50)","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Powermax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(51)","plainTextFormattedCitation":"(51)","previouslyFormattedCitation":"(52)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1A9F946A"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(52)","plainTextFormattedCitation":"(52)","previouslyFormattedCitation":"(53)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Cherni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w:t>
      </w:r>
      <w:r w:rsidRPr="00B3074D">
        <w:rPr>
          <w:rFonts w:ascii="Times New Roman" w:hAnsi="Times New Roman" w:cs="Times New Roman"/>
          <w:color w:val="000000" w:themeColor="text1"/>
          <w:shd w:val="clear" w:color="auto" w:fill="FFFFFF"/>
        </w:rPr>
        <w:lastRenderedPageBreak/>
        <w:t xml:space="preserve">rate was only slightly above the 1X and well below the 10X rates used by Cherni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Powermax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(54–56)","plainTextFormattedCitation":"(54–56)","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(54–56)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B92C04">
        <w:rPr>
          <w:rFonts w:ascii="Times New Roman" w:hAnsi="Times New Roman" w:cs="Times New Roman"/>
          <w:color w:val="000000" w:themeColor="text1"/>
          <w:shd w:val="clear" w:color="auto" w:fill="FFFFFF"/>
        </w:rPr>
        <w:t xml:space="preserve">Shifts in the abundance of </w:t>
      </w:r>
      <w:r w:rsidR="00B92C04" w:rsidRPr="00B92C04">
        <w:rPr>
          <w:rFonts w:ascii="Times New Roman" w:hAnsi="Times New Roman" w:cs="Times New Roman"/>
          <w:color w:val="000000" w:themeColor="text1"/>
          <w:highlight w:val="yellow"/>
          <w:shd w:val="clear" w:color="auto" w:fill="FFFFFF"/>
        </w:rPr>
        <w:t xml:space="preserve">Shpingomondacae provide support and show increased abundance of putative herbicide degraders following chemical herbicide </w:t>
      </w:r>
      <w:commentRangeStart w:id="17"/>
      <w:r w:rsidR="00B92C04" w:rsidRPr="00B92C04">
        <w:rPr>
          <w:rFonts w:ascii="Times New Roman" w:hAnsi="Times New Roman" w:cs="Times New Roman"/>
          <w:color w:val="000000" w:themeColor="text1"/>
          <w:highlight w:val="yellow"/>
          <w:shd w:val="clear" w:color="auto" w:fill="FFFFFF"/>
        </w:rPr>
        <w:t>application</w:t>
      </w:r>
      <w:commentRangeEnd w:id="17"/>
      <w:r w:rsidR="00B92C04" w:rsidRPr="00B92C04">
        <w:rPr>
          <w:rStyle w:val="CommentReference"/>
          <w:rFonts w:ascii="Times New Roman" w:eastAsia="Times New Roman" w:hAnsi="Times New Roman" w:cs="Times New Roman"/>
          <w:color w:val="000000"/>
          <w:highlight w:val="yellow"/>
          <w:lang w:eastAsia="de-DE"/>
        </w:rPr>
        <w:commentReference w:id="17"/>
      </w:r>
      <w:r w:rsidR="00B92C04">
        <w:rPr>
          <w:rFonts w:ascii="Times New Roman" w:hAnsi="Times New Roman" w:cs="Times New Roman"/>
          <w:color w:val="000000" w:themeColor="text1"/>
          <w:shd w:val="clear" w:color="auto" w:fill="FFFFFF"/>
        </w:rPr>
        <w:t>. However as</w:t>
      </w:r>
      <w:commentRangeStart w:id="18"/>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Damin and Triveli </w:t>
      </w:r>
      <w:r w:rsidR="00B92C04">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8"/>
      <w:r w:rsidR="00B92C04">
        <w:rPr>
          <w:rStyle w:val="CommentReference"/>
          <w:rFonts w:ascii="Times New Roman" w:eastAsia="Times New Roman" w:hAnsi="Times New Roman" w:cs="Times New Roman"/>
          <w:color w:val="000000"/>
          <w:lang w:eastAsia="de-DE"/>
        </w:rPr>
        <w:commentReference w:id="18"/>
      </w:r>
      <w:r w:rsidR="00B92C04">
        <w:rPr>
          <w:rFonts w:ascii="Times New Roman" w:hAnsi="Times New Roman" w:cs="Times New Roman"/>
          <w:color w:val="000000" w:themeColor="text1"/>
          <w:shd w:val="clear" w:color="auto" w:fill="FFFFFF"/>
        </w:rPr>
        <w:t xml:space="preserve"> </w:t>
      </w:r>
    </w:p>
    <w:p w14:paraId="03644A58" w14:textId="6C538F1E"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(58–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w:t>
      </w:r>
      <w:r w:rsidRPr="00B3074D">
        <w:rPr>
          <w:rFonts w:ascii="Times New Roman" w:hAnsi="Times New Roman" w:cs="Times New Roman"/>
          <w:color w:val="000000" w:themeColor="text1"/>
          <w:shd w:val="clear" w:color="auto" w:fill="FFFFFF"/>
        </w:rPr>
        <w:lastRenderedPageBreak/>
        <w:t xml:space="preserve">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4FE9EB0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Powermax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relationships","type":"article-journal","volume":"62"},"uris":["http://www.mendeley.com/documents/?uuid=a50e67e9-8be9-4934-87a6-9cb98e6831d5"]}],"mendeley":{"formattedCitation":"(61, 62)","plainTextFormattedCitation":"(61, 62)","previouslyFormattedCitation":"(62, 63)"},"properties":{"noteIndex":0},"schema":"https://github.com/citation-style-language/schema/raw/master/csl-citation.json"}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(61, 62)</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11AE31F3" w14:textId="2341ACD7" w:rsidR="006067D4" w:rsidRPr="006067D4" w:rsidRDefault="002F4D3B" w:rsidP="006067D4">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rPr>
        <w:t xml:space="preserve">1. </w:t>
      </w:r>
      <w:r w:rsidR="006067D4" w:rsidRPr="006067D4">
        <w:rPr>
          <w:rFonts w:ascii="Times New Roman" w:hAnsi="Times New Roman" w:cs="Times New Roman"/>
          <w:noProof/>
        </w:rPr>
        <w:tab/>
        <w:t>Benbrook CM. 2012. Impacts of genetically engineered crops on pesticide use in the U.S.-the first sixteen years. Environ Sci Eur 24:1–13.</w:t>
      </w:r>
    </w:p>
    <w:p w14:paraId="62BF018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 </w:t>
      </w:r>
      <w:r w:rsidRPr="006067D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54AA987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 </w:t>
      </w:r>
      <w:r w:rsidRPr="006067D4">
        <w:rPr>
          <w:rFonts w:ascii="Times New Roman" w:hAnsi="Times New Roman" w:cs="Times New Roman"/>
          <w:noProof/>
        </w:rPr>
        <w:tab/>
        <w:t>Palm C, Blanco-Canqui H, DeClerck F, Gatere L, Grace P. 2014. Conservation agriculture and ecosystem services: An overview. Agric Ecosyst Environ 187:87–105.</w:t>
      </w:r>
    </w:p>
    <w:p w14:paraId="2FA81A2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 </w:t>
      </w:r>
      <w:r w:rsidRPr="006067D4">
        <w:rPr>
          <w:rFonts w:ascii="Times New Roman" w:hAnsi="Times New Roman" w:cs="Times New Roman"/>
          <w:noProof/>
        </w:rPr>
        <w:tab/>
        <w:t>Tu CM, Bollen WB. 1968. Interaction between Paraquat and microbes in soils. Weed Res 8:38–45.</w:t>
      </w:r>
    </w:p>
    <w:p w14:paraId="5F00D70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 </w:t>
      </w:r>
      <w:r w:rsidRPr="006067D4">
        <w:rPr>
          <w:rFonts w:ascii="Times New Roman" w:hAnsi="Times New Roman" w:cs="Times New Roman"/>
          <w:noProof/>
        </w:rPr>
        <w:tab/>
        <w:t>Nguyen DB, Rose MT, Rose TJ, Morris SG, van Zwieten L. 2016. Impact of glyphosate on soil microbial biomass and respiration: A meta-analysis. Soil Biol Biochem 92:50–57.</w:t>
      </w:r>
    </w:p>
    <w:p w14:paraId="3E45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 </w:t>
      </w:r>
      <w:r w:rsidRPr="006067D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61E793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7. </w:t>
      </w:r>
      <w:r w:rsidRPr="006067D4">
        <w:rPr>
          <w:rFonts w:ascii="Times New Roman" w:hAnsi="Times New Roman" w:cs="Times New Roman"/>
          <w:noProof/>
        </w:rPr>
        <w:tab/>
        <w:t>Liao H, Li X, Yang Q, Bai Y, Cui P, Wen C, Liu C, Chen Z. 2021. Herbicide selection promotes antibiotic resistance in soil microbiomes.</w:t>
      </w:r>
    </w:p>
    <w:p w14:paraId="5A1DF40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8. </w:t>
      </w:r>
      <w:r w:rsidRPr="006067D4">
        <w:rPr>
          <w:rFonts w:ascii="Times New Roman" w:hAnsi="Times New Roman" w:cs="Times New Roman"/>
          <w:noProof/>
        </w:rPr>
        <w:tab/>
        <w:t>de Souza R, Ambrosini A, Passaglia LMP. 2015. Plant growth-promoting bacteria as inoculants in agricultural soils. Genet Mol Biol 38:401–419.</w:t>
      </w:r>
    </w:p>
    <w:p w14:paraId="4A2856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9. </w:t>
      </w:r>
      <w:r w:rsidRPr="006067D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089922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10. </w:t>
      </w:r>
      <w:r w:rsidRPr="006067D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5C7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11. </w:t>
      </w:r>
      <w:r w:rsidRPr="006067D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C5878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12. </w:t>
      </w:r>
      <w:r w:rsidRPr="006067D4">
        <w:rPr>
          <w:rFonts w:ascii="Times New Roman" w:hAnsi="Times New Roman" w:cs="Times New Roman"/>
          <w:noProof/>
        </w:rPr>
        <w:tab/>
        <w:t>Richardson AE, Simpson RJ. 2011. Soil Microorganisms Mediating Phosphorus Availability Update on Microbial Phosphorus. Plant Physiol 156:989–996.</w:t>
      </w:r>
    </w:p>
    <w:p w14:paraId="692194C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13. </w:t>
      </w:r>
      <w:r w:rsidRPr="006067D4">
        <w:rPr>
          <w:rFonts w:ascii="Times New Roman" w:hAnsi="Times New Roman" w:cs="Times New Roman"/>
          <w:noProof/>
        </w:rPr>
        <w:tab/>
        <w:t>Garcia J, Kao-Kniffin J. 2018. Microbial Group Dynamics in Plant Rhizospheres and Their Implications on Nutrient Cycling. Front Microbiol 9:1–7.</w:t>
      </w:r>
    </w:p>
    <w:p w14:paraId="4855255A"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14. </w:t>
      </w:r>
      <w:r w:rsidRPr="006067D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0586DB1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15. </w:t>
      </w:r>
      <w:r w:rsidRPr="006067D4">
        <w:rPr>
          <w:rFonts w:ascii="Times New Roman" w:hAnsi="Times New Roman" w:cs="Times New Roman"/>
          <w:noProof/>
        </w:rPr>
        <w:tab/>
        <w:t>Imfeld G, Vuilleumier S. 2012. Measuring the effects of pesticides on bacterial communities in soil: A critical review. Eur J Soil Biol 49:22–30.</w:t>
      </w:r>
    </w:p>
    <w:p w14:paraId="218FE2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16. </w:t>
      </w:r>
      <w:r w:rsidRPr="006067D4">
        <w:rPr>
          <w:rFonts w:ascii="Times New Roman" w:hAnsi="Times New Roman" w:cs="Times New Roman"/>
          <w:noProof/>
        </w:rPr>
        <w:tab/>
        <w:t>Bünemann EK, Schwenke GD, Van Zwieten L. 2006. Impact of agricultural inputs on soil organisms - A review. Aust J Soil Res 44:379–406.</w:t>
      </w:r>
    </w:p>
    <w:p w14:paraId="27F851E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17. </w:t>
      </w:r>
      <w:r w:rsidRPr="006067D4">
        <w:rPr>
          <w:rFonts w:ascii="Times New Roman" w:hAnsi="Times New Roman" w:cs="Times New Roman"/>
          <w:noProof/>
        </w:rPr>
        <w:tab/>
        <w:t>Puglisi E. 2017. Response of microbial organisms (aquatic and terrestrial) to pesticides. EFSA Support Publ 9.</w:t>
      </w:r>
    </w:p>
    <w:p w14:paraId="7C6AEE3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18. </w:t>
      </w:r>
      <w:r w:rsidRPr="006067D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2D40E7D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19. </w:t>
      </w:r>
      <w:r w:rsidRPr="006067D4">
        <w:rPr>
          <w:rFonts w:ascii="Times New Roman" w:hAnsi="Times New Roman" w:cs="Times New Roman"/>
          <w:noProof/>
        </w:rPr>
        <w:tab/>
        <w:t>Weidenhamer JD, Callaway RM. 2010. Direct and Indirect Effects of Invasive Plants on Soil Chemistry and Ecosystem Function. J Chem Ecol 36:59–69.</w:t>
      </w:r>
    </w:p>
    <w:p w14:paraId="2E0B816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20. </w:t>
      </w:r>
      <w:r w:rsidRPr="006067D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0A70BCF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21. </w:t>
      </w:r>
      <w:r w:rsidRPr="006067D4">
        <w:rPr>
          <w:rFonts w:ascii="Times New Roman" w:hAnsi="Times New Roman" w:cs="Times New Roman"/>
          <w:noProof/>
        </w:rPr>
        <w:tab/>
        <w:t xml:space="preserve">García-Delgado C, Barba-Vicente V, Marín-Benito JM, Mariano Igual J, Sánchez-Martín MJ, Sonia Rodríguez-Cruz M. 2019. Influence of different agricultural management </w:t>
      </w:r>
      <w:r w:rsidRPr="006067D4">
        <w:rPr>
          <w:rFonts w:ascii="Times New Roman" w:hAnsi="Times New Roman" w:cs="Times New Roman"/>
          <w:noProof/>
        </w:rPr>
        <w:lastRenderedPageBreak/>
        <w:t>practices on soil microbial community over dissipation time of two herbicides. Sci Total Environ 646:1478–1488.</w:t>
      </w:r>
    </w:p>
    <w:p w14:paraId="220D1F9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22. </w:t>
      </w:r>
      <w:r w:rsidRPr="006067D4">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C8122D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23. </w:t>
      </w:r>
      <w:r w:rsidRPr="006067D4">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312192A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24. </w:t>
      </w:r>
      <w:r w:rsidRPr="006067D4">
        <w:rPr>
          <w:rFonts w:ascii="Times New Roman" w:hAnsi="Times New Roman" w:cs="Times New Roman"/>
          <w:noProof/>
        </w:rPr>
        <w:tab/>
        <w:t>Riah W, Laval K, Laroche-Ajzenberg E, Mougin C, Latour X, Trinsoutrot-Gattin I. 2014. Effects of pesticides on soil enzymes: A review. Environ Chem Lett 12:257–273.</w:t>
      </w:r>
    </w:p>
    <w:p w14:paraId="7003EBB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25. </w:t>
      </w:r>
      <w:r w:rsidRPr="006067D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61764CD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26. </w:t>
      </w:r>
      <w:r w:rsidRPr="006067D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26E45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27. </w:t>
      </w:r>
      <w:r w:rsidRPr="006067D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2B67232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28. </w:t>
      </w:r>
      <w:r w:rsidRPr="006067D4">
        <w:rPr>
          <w:rFonts w:ascii="Times New Roman" w:hAnsi="Times New Roman" w:cs="Times New Roman"/>
          <w:noProof/>
        </w:rPr>
        <w:tab/>
        <w:t xml:space="preserve"> 2020. Standard Methods Online -- Standard Methods for the Examination of Water and Wastewater.</w:t>
      </w:r>
    </w:p>
    <w:p w14:paraId="2EBB5A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29. </w:t>
      </w:r>
      <w:r w:rsidRPr="006067D4">
        <w:rPr>
          <w:rFonts w:ascii="Times New Roman" w:hAnsi="Times New Roman" w:cs="Times New Roman"/>
          <w:noProof/>
        </w:rPr>
        <w:tab/>
        <w:t xml:space="preserve">Bell CW, Fricks BE, Rocca JD, Steinweg JM, McMahon SK, Wallenstein MD. 2013. High-throughput Fluorometric Measurement of Potential Soil Extracellular Enzyme </w:t>
      </w:r>
      <w:r w:rsidRPr="006067D4">
        <w:rPr>
          <w:rFonts w:ascii="Times New Roman" w:hAnsi="Times New Roman" w:cs="Times New Roman"/>
          <w:noProof/>
        </w:rPr>
        <w:lastRenderedPageBreak/>
        <w:t>Activities. J Vis Exp 1–16.</w:t>
      </w:r>
    </w:p>
    <w:p w14:paraId="648C564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30. </w:t>
      </w:r>
      <w:r w:rsidRPr="006067D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76D6402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31. </w:t>
      </w:r>
      <w:r w:rsidRPr="006067D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1467DCA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32. </w:t>
      </w:r>
      <w:r w:rsidRPr="006067D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F88CD6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33. </w:t>
      </w:r>
      <w:r w:rsidRPr="006067D4">
        <w:rPr>
          <w:rFonts w:ascii="Times New Roman" w:hAnsi="Times New Roman" w:cs="Times New Roman"/>
          <w:noProof/>
        </w:rPr>
        <w:tab/>
        <w:t>Custer GF, VanDiepen LTA, Stump WL. 2020. Structural and functional dynamics of soil microbes following spruce beetle infestation. Appl Environ Microbiol 86:1–19.</w:t>
      </w:r>
    </w:p>
    <w:p w14:paraId="6E3CE75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34. </w:t>
      </w:r>
      <w:r w:rsidRPr="006067D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1840FC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35. </w:t>
      </w:r>
      <w:r w:rsidRPr="006067D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25E4C6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36. </w:t>
      </w:r>
      <w:r w:rsidRPr="006067D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66A55EE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37. </w:t>
      </w:r>
      <w:r w:rsidRPr="006067D4">
        <w:rPr>
          <w:rFonts w:ascii="Times New Roman" w:hAnsi="Times New Roman" w:cs="Times New Roman"/>
          <w:noProof/>
        </w:rPr>
        <w:tab/>
        <w:t>Gardes M, Bruns TD. 1993. ITS primers with enhanced specificity for basidiomycetes ‐ application to the identification of mycorrhizae and rusts. Mol Ecol 2:113–118.</w:t>
      </w:r>
    </w:p>
    <w:p w14:paraId="7136EE8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38. </w:t>
      </w:r>
      <w:r w:rsidRPr="006067D4">
        <w:rPr>
          <w:rFonts w:ascii="Times New Roman" w:hAnsi="Times New Roman" w:cs="Times New Roman"/>
          <w:noProof/>
        </w:rPr>
        <w:tab/>
        <w:t xml:space="preserve">White TJ, Bruns T, Lee S, Taylor J. 1990. Amplification and direct sequencing of fungal ribosomal RNA genes for phylogenetics, p. 315–322. </w:t>
      </w:r>
      <w:r w:rsidRPr="006067D4">
        <w:rPr>
          <w:rFonts w:ascii="Times New Roman" w:hAnsi="Times New Roman" w:cs="Times New Roman"/>
          <w:i/>
          <w:iCs/>
          <w:noProof/>
        </w:rPr>
        <w:t>In</w:t>
      </w:r>
      <w:r w:rsidRPr="006067D4">
        <w:rPr>
          <w:rFonts w:ascii="Times New Roman" w:hAnsi="Times New Roman" w:cs="Times New Roman"/>
          <w:noProof/>
        </w:rPr>
        <w:t xml:space="preserve"> PCR Protocols. Elsevier.</w:t>
      </w:r>
    </w:p>
    <w:p w14:paraId="6369A1B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39. </w:t>
      </w:r>
      <w:r w:rsidRPr="006067D4">
        <w:rPr>
          <w:rFonts w:ascii="Times New Roman" w:hAnsi="Times New Roman" w:cs="Times New Roman"/>
          <w:noProof/>
        </w:rPr>
        <w:tab/>
        <w:t>R Development Core Team. 2020. A Language and Environment for Statistical Computing. R Found Stat Comput. Vienna, Austria.</w:t>
      </w:r>
    </w:p>
    <w:p w14:paraId="666E8A5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40. </w:t>
      </w:r>
      <w:r w:rsidRPr="006067D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39BD9AF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41. </w:t>
      </w:r>
      <w:r w:rsidRPr="006067D4">
        <w:rPr>
          <w:rFonts w:ascii="Times New Roman" w:hAnsi="Times New Roman" w:cs="Times New Roman"/>
          <w:noProof/>
        </w:rPr>
        <w:tab/>
        <w:t>McMurdie PJ, Holmes S. 2013. phyloseq: An R Package for Reproducible Interactive Analysis and Graphics of Microbiome Census Data. PLoS One 8:1–11.</w:t>
      </w:r>
    </w:p>
    <w:p w14:paraId="39EF0F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42. </w:t>
      </w:r>
      <w:r w:rsidRPr="006067D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234036C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43. </w:t>
      </w:r>
      <w:r w:rsidRPr="006067D4">
        <w:rPr>
          <w:rFonts w:ascii="Times New Roman" w:hAnsi="Times New Roman" w:cs="Times New Roman"/>
          <w:noProof/>
        </w:rPr>
        <w:tab/>
        <w:t>Kursa MB, Rudnicki WR. 2020. Boruta: Wrapper Algorithm for All Relevant Feature Selection.</w:t>
      </w:r>
    </w:p>
    <w:p w14:paraId="718136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44. </w:t>
      </w:r>
      <w:r w:rsidRPr="006067D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051C276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45. </w:t>
      </w:r>
      <w:r w:rsidRPr="006067D4">
        <w:rPr>
          <w:rFonts w:ascii="Times New Roman" w:hAnsi="Times New Roman" w:cs="Times New Roman"/>
          <w:noProof/>
        </w:rPr>
        <w:tab/>
        <w:t>Berg B, McClaugherty C. 2014. Plant LitterCarbon. Springer Berlin Heidelberg, Berlin, Heidelberg.</w:t>
      </w:r>
    </w:p>
    <w:p w14:paraId="242155A5"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46. </w:t>
      </w:r>
      <w:r w:rsidRPr="006067D4">
        <w:rPr>
          <w:rFonts w:ascii="Times New Roman" w:hAnsi="Times New Roman" w:cs="Times New Roman"/>
          <w:noProof/>
        </w:rPr>
        <w:tab/>
        <w:t>Damin V, Triveli P. 2011. Herbicides Effect on Nitrogen Cycling in AgroecossystemsHerbicides and Environment. InTech.</w:t>
      </w:r>
    </w:p>
    <w:p w14:paraId="2DDF54A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47. </w:t>
      </w:r>
      <w:r w:rsidRPr="006067D4">
        <w:rPr>
          <w:rFonts w:ascii="Times New Roman" w:hAnsi="Times New Roman" w:cs="Times New Roman"/>
          <w:noProof/>
        </w:rPr>
        <w:tab/>
        <w:t xml:space="preserve">Mahía J, González-Prieto SJ, Martín A, Bååth E, Díaz-Raviña M. 2011. Biochemical properties and microbial community structure of five different soils after atrazine addition. </w:t>
      </w:r>
      <w:r w:rsidRPr="006067D4">
        <w:rPr>
          <w:rFonts w:ascii="Times New Roman" w:hAnsi="Times New Roman" w:cs="Times New Roman"/>
          <w:noProof/>
        </w:rPr>
        <w:lastRenderedPageBreak/>
        <w:t>Biol Fertil Soils 47:577–589.</w:t>
      </w:r>
    </w:p>
    <w:p w14:paraId="6BBEC5C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48. </w:t>
      </w:r>
      <w:r w:rsidRPr="006067D4">
        <w:rPr>
          <w:rFonts w:ascii="Times New Roman" w:hAnsi="Times New Roman" w:cs="Times New Roman"/>
          <w:noProof/>
        </w:rPr>
        <w:tab/>
        <w:t>Millard P, Singh BK. 2010. Does grassland vegetation drive soil microbial diversity? Nutr Cycl Agroecosystems 88:147–158.</w:t>
      </w:r>
    </w:p>
    <w:p w14:paraId="10B772D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49. </w:t>
      </w:r>
      <w:r w:rsidRPr="006067D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68BC5C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50. </w:t>
      </w:r>
      <w:r w:rsidRPr="006067D4">
        <w:rPr>
          <w:rFonts w:ascii="Times New Roman" w:hAnsi="Times New Roman" w:cs="Times New Roman"/>
          <w:noProof/>
        </w:rPr>
        <w:tab/>
        <w:t>Hébert M, Fugère V, Gonzalez A. 2019. The overlooked impact of rising glyphosate use on phosphorus loading in agricultural watersheds. Front Ecol Environ 17:48–56.</w:t>
      </w:r>
    </w:p>
    <w:p w14:paraId="1D3634A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51. </w:t>
      </w:r>
      <w:r w:rsidRPr="006067D4">
        <w:rPr>
          <w:rFonts w:ascii="Times New Roman" w:hAnsi="Times New Roman" w:cs="Times New Roman"/>
          <w:noProof/>
        </w:rPr>
        <w:tab/>
        <w:t>West SA, Diggle SP, Buckling A, Gardner A, Griffin AS. 2007. The Social Lives of Microbes. Annu Rev Ecol Evol Syst 38:53–77.</w:t>
      </w:r>
    </w:p>
    <w:p w14:paraId="438FD34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52. </w:t>
      </w:r>
      <w:r w:rsidRPr="006067D4">
        <w:rPr>
          <w:rFonts w:ascii="Times New Roman" w:hAnsi="Times New Roman" w:cs="Times New Roman"/>
          <w:noProof/>
        </w:rPr>
        <w:tab/>
        <w:t>Płatkowski M, Telesiński A. 2016. Response of soil phosphatases to glyphosate and its formulations – Roundup (laboratory conditions). Plant, Soil Environ 62:286–292.</w:t>
      </w:r>
    </w:p>
    <w:p w14:paraId="7FA9ED8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53. </w:t>
      </w:r>
      <w:r w:rsidRPr="006067D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509B1CD"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54. </w:t>
      </w:r>
      <w:r w:rsidRPr="006067D4">
        <w:rPr>
          <w:rFonts w:ascii="Times New Roman" w:hAnsi="Times New Roman" w:cs="Times New Roman"/>
          <w:noProof/>
        </w:rPr>
        <w:tab/>
        <w:t>Ratcliff AW, Busse MD, Shestak CJ. 2006. Changes in microbial community structure following herbicide (glyphosate) additions to forest soils. Appl Soil Ecol 34:114–124.</w:t>
      </w:r>
    </w:p>
    <w:p w14:paraId="4FF6DF0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55. </w:t>
      </w:r>
      <w:r w:rsidRPr="006067D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4CD6524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56. </w:t>
      </w:r>
      <w:r w:rsidRPr="006067D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51E4B1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57. </w:t>
      </w:r>
      <w:r w:rsidRPr="006067D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0634D75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58. </w:t>
      </w:r>
      <w:r w:rsidRPr="006067D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3436718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59. </w:t>
      </w:r>
      <w:r w:rsidRPr="006067D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27AE667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60. </w:t>
      </w:r>
      <w:r w:rsidRPr="006067D4">
        <w:rPr>
          <w:rFonts w:ascii="Times New Roman" w:hAnsi="Times New Roman" w:cs="Times New Roman"/>
          <w:noProof/>
        </w:rPr>
        <w:tab/>
        <w:t>T. Sherene. 2017. Role of Soil Enzymes in Nutrient Transformation: A Review. Bio Bull 3 (1):109–131.</w:t>
      </w:r>
    </w:p>
    <w:p w14:paraId="689CD6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61. </w:t>
      </w:r>
      <w:r w:rsidRPr="006067D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63DB7B4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62. </w:t>
      </w:r>
      <w:r w:rsidRPr="006067D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76151E8B" w:rsidR="002F4D3B" w:rsidRDefault="002F4D3B" w:rsidP="006067D4">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9" w:name="_Toc71026837"/>
      <w:r w:rsidRPr="0037707D">
        <w:t>Tables</w:t>
      </w:r>
      <w:bookmarkEnd w:id="19"/>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lastRenderedPageBreak/>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20" w:name="OLE_LINK3"/>
            <w:bookmarkStart w:id="21" w:name="OLE_LINK4"/>
            <w:r w:rsidRPr="0037707D">
              <w:rPr>
                <w:color w:val="000000" w:themeColor="text1"/>
              </w:rPr>
              <w:t>atrazine and mesotrione tank mix</w:t>
            </w:r>
            <w:bookmarkEnd w:id="20"/>
            <w:bookmarkEnd w:id="21"/>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Powermax treatment plots over three sampling times. Enzyme activities were significant as per global models for AG, BG, BX, PHOS, and the ratio of C:N cycling enzymes for the handweeded plots. Only PHOS activity was significant in the Roundup Powermax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all chemical treatments grouped,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6929B8FE"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5" w:author="Gordon Fritz Custer" w:date="2022-02-15T20:21:00Z" w:initials="GFC">
    <w:p w14:paraId="7B3D1852" w14:textId="30F158D3" w:rsidR="00BB31F7" w:rsidRDefault="00BB31F7">
      <w:pPr>
        <w:pStyle w:val="CommentText"/>
      </w:pPr>
      <w:r>
        <w:rPr>
          <w:rStyle w:val="CommentReference"/>
        </w:rPr>
        <w:annotationRef/>
      </w:r>
      <w:r>
        <w:t>Will need to be fully described. This is a place holder for now.</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8"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9"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C3381F">
      <w:pPr>
        <w:pStyle w:val="CommentText"/>
      </w:pPr>
      <w:hyperlink r:id="rId2" w:history="1">
        <w:r w:rsidR="00CA3F7E" w:rsidRPr="00DA6C32">
          <w:rPr>
            <w:rStyle w:val="Hyperlink"/>
          </w:rPr>
          <w:t>https://pubmed.ncbi.nlm.nih.gov/33105985/</w:t>
        </w:r>
      </w:hyperlink>
      <w:r w:rsidR="00CA3F7E">
        <w:t xml:space="preserve"> </w:t>
      </w:r>
      <w:r w:rsidR="00CA3F7E">
        <w:br/>
      </w:r>
    </w:p>
  </w:comment>
  <w:comment w:id="12"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6" w:author="Custer, Gordon" w:date="2022-01-24T16:08:00Z" w:initials="CG">
    <w:p w14:paraId="126A045E" w14:textId="1F94E415" w:rsidR="009F7052" w:rsidRDefault="009F7052">
      <w:pPr>
        <w:pStyle w:val="CommentText"/>
      </w:pPr>
      <w:r>
        <w:rPr>
          <w:rStyle w:val="CommentReference"/>
        </w:rPr>
        <w:annotationRef/>
      </w:r>
      <w:r>
        <w:t xml:space="preserve">Josh, what are you thoughts on targeting these groups for a more thorough analysis? </w:t>
      </w:r>
    </w:p>
  </w:comment>
  <w:comment w:id="17"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C3381F" w:rsidP="00B92C04">
      <w:pPr>
        <w:pStyle w:val="CommentText"/>
      </w:pPr>
      <w:hyperlink r:id="rId5" w:history="1">
        <w:r w:rsidR="00B92C04" w:rsidRPr="00DA6C32">
          <w:rPr>
            <w:rStyle w:val="Hyperlink"/>
          </w:rPr>
          <w:t>https://pubmed.ncbi.nlm.nih.gov/33105985/</w:t>
        </w:r>
      </w:hyperlink>
    </w:p>
  </w:comment>
  <w:comment w:id="18"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7B3D1852"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B689CA" w16cex:dateUtc="2022-02-16T01:21: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7B3D1852" w16cid:durableId="25B689CA"/>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970C2"/>
    <w:rsid w:val="002D2557"/>
    <w:rsid w:val="002F4D3B"/>
    <w:rsid w:val="003771DD"/>
    <w:rsid w:val="003D1C5E"/>
    <w:rsid w:val="00455E94"/>
    <w:rsid w:val="004878DA"/>
    <w:rsid w:val="004C596F"/>
    <w:rsid w:val="004D203E"/>
    <w:rsid w:val="00532539"/>
    <w:rsid w:val="0053582D"/>
    <w:rsid w:val="005D2CC4"/>
    <w:rsid w:val="005E21DB"/>
    <w:rsid w:val="006067D4"/>
    <w:rsid w:val="006133E2"/>
    <w:rsid w:val="006447A9"/>
    <w:rsid w:val="006C539A"/>
    <w:rsid w:val="006F4CAD"/>
    <w:rsid w:val="007144A5"/>
    <w:rsid w:val="00733695"/>
    <w:rsid w:val="0075436A"/>
    <w:rsid w:val="007C3D52"/>
    <w:rsid w:val="0089710C"/>
    <w:rsid w:val="008C78D2"/>
    <w:rsid w:val="00923C61"/>
    <w:rsid w:val="00957991"/>
    <w:rsid w:val="0099796C"/>
    <w:rsid w:val="009A38F8"/>
    <w:rsid w:val="009B3670"/>
    <w:rsid w:val="009F391E"/>
    <w:rsid w:val="009F7052"/>
    <w:rsid w:val="00A71ACB"/>
    <w:rsid w:val="00AE3027"/>
    <w:rsid w:val="00B146B2"/>
    <w:rsid w:val="00B3074D"/>
    <w:rsid w:val="00B33E6B"/>
    <w:rsid w:val="00B42E0E"/>
    <w:rsid w:val="00B57649"/>
    <w:rsid w:val="00B82EAF"/>
    <w:rsid w:val="00B92C04"/>
    <w:rsid w:val="00BB31F7"/>
    <w:rsid w:val="00BB6B4B"/>
    <w:rsid w:val="00C3381F"/>
    <w:rsid w:val="00C94667"/>
    <w:rsid w:val="00CA3F7E"/>
    <w:rsid w:val="00CD39E7"/>
    <w:rsid w:val="00CF4814"/>
    <w:rsid w:val="00D46E4B"/>
    <w:rsid w:val="00D57637"/>
    <w:rsid w:val="00DB4879"/>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34</Pages>
  <Words>39071</Words>
  <Characters>222710</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36</cp:revision>
  <dcterms:created xsi:type="dcterms:W3CDTF">2021-05-07T15:26:00Z</dcterms:created>
  <dcterms:modified xsi:type="dcterms:W3CDTF">2022-04-26T15:39:00Z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http://www.zotero.org/styles/frontiers-in-microbiology</vt:lpwstr>
  </property>
  <property fmtid="{D5CDD505-2E9C-101B-9397-08002B2CF9AE}" pid="11" name="Mendeley Recent Style Name 4_1">
    <vt:lpwstr>Frontiers in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http://www.zotero.org/styles/journal-of-molecular-biology</vt:lpwstr>
  </property>
  <property fmtid="{D5CDD505-2E9C-101B-9397-08002B2CF9AE}" pid="15" name="Mendeley Recent Style Name 6_1">
    <vt:lpwstr>Journal of Molecular Biology</vt:lpwstr>
  </property>
  <property fmtid="{D5CDD505-2E9C-101B-9397-08002B2CF9AE}" pid="16" name="Mendeley Recent Style Id 7_1">
    <vt:lpwstr>http://www.zotero.org/styles/microbiome</vt:lpwstr>
  </property>
  <property fmtid="{D5CDD505-2E9C-101B-9397-08002B2CF9AE}" pid="17" name="Mendeley Recent Style Name 7_1">
    <vt:lpwstr>Microbiome</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