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agro-ecosystems is of the utmost concern. In this study, we compare three chemical herbicides, Roundup (glyphosate), Clarity (dicamba), and a tank mix of Aatrex and Calisto (atrazine and mesotrione)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phyllosphere diversity and</w:t>
      </w:r>
      <w:r w:rsidRPr="00B3074D">
        <w:rPr>
          <w:rFonts w:ascii="Times New Roman" w:hAnsi="Times New Roman" w:cs="Times New Roman"/>
          <w:color w:val="000000" w:themeColor="text1"/>
        </w:rPr>
        <w:t xml:space="preserve"> function over twenty days post-treatment in </w:t>
      </w:r>
      <w:r w:rsidRPr="00B3074D">
        <w:rPr>
          <w:rFonts w:ascii="Times New Roman" w:hAnsi="Times New Roman" w:cs="Times New Roman"/>
          <w:i/>
          <w:iCs/>
          <w:color w:val="000000" w:themeColor="text1"/>
        </w:rPr>
        <w:t>Zea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agro-ecosystems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 xml:space="preserve">N-(phosphonomethyl)glycine),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3376BA60"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e14","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aggregate formation and maintenance of soil structure, contributing an estimated $330 to $500 per ha/yr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39ED13B4" w14:textId="6CD8D24F"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5090DF2" w14:textId="2D95E898" w:rsidR="0075436A" w:rsidRPr="00B3074D" w:rsidRDefault="0075436A" w:rsidP="00B3074D">
      <w:pPr>
        <w:spacing w:line="480" w:lineRule="auto"/>
        <w:ind w:firstLine="720"/>
        <w:rPr>
          <w:rFonts w:ascii="Times New Roman" w:hAnsi="Times New Roman" w:cs="Times New Roman"/>
          <w:color w:val="000000" w:themeColor="text1"/>
        </w:rPr>
      </w:pPr>
      <w:commentRangeStart w:id="3"/>
      <w:r>
        <w:rPr>
          <w:rFonts w:ascii="Times New Roman" w:hAnsi="Times New Roman" w:cs="Times New Roman"/>
          <w:color w:val="000000" w:themeColor="text1"/>
        </w:rPr>
        <w:t xml:space="preserve"> </w:t>
      </w:r>
      <w:commentRangeEnd w:id="3"/>
      <w:r>
        <w:rPr>
          <w:rStyle w:val="CommentReference"/>
          <w:rFonts w:ascii="Times New Roman" w:eastAsia="Times New Roman" w:hAnsi="Times New Roman" w:cs="Times New Roman"/>
          <w:color w:val="000000"/>
          <w:lang w:eastAsia="de-DE"/>
        </w:rPr>
        <w:commentReference w:id="3"/>
      </w:r>
    </w:p>
    <w:p w14:paraId="5719B31C" w14:textId="68AE9C8E"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 </w:t>
      </w:r>
      <w:r w:rsidR="0075436A">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and phyllosphere</w:t>
      </w:r>
      <w:r w:rsidRPr="00B3074D">
        <w:rPr>
          <w:rFonts w:ascii="Times New Roman" w:hAnsi="Times New Roman" w:cs="Times New Roman"/>
          <w:color w:val="000000" w:themeColor="text1"/>
        </w:rPr>
        <w:t xml:space="preserve"> microbiome</w:t>
      </w:r>
      <w:r w:rsidR="0075436A">
        <w:rPr>
          <w:rFonts w:ascii="Times New Roman" w:hAnsi="Times New Roman" w:cs="Times New Roman"/>
          <w:color w:val="000000" w:themeColor="text1"/>
        </w:rPr>
        <w:t>s</w:t>
      </w:r>
      <w:r w:rsidRPr="00B3074D">
        <w:rPr>
          <w:rFonts w:ascii="Times New Roman" w:hAnsi="Times New Roman" w:cs="Times New Roman"/>
          <w:color w:val="000000" w:themeColor="text1"/>
        </w:rPr>
        <w:t xml:space="preserve"> in </w:t>
      </w:r>
      <w:r w:rsidRPr="00B3074D">
        <w:rPr>
          <w:rFonts w:ascii="Times New Roman" w:hAnsi="Times New Roman" w:cs="Times New Roman"/>
          <w:i/>
          <w:iCs/>
          <w:color w:val="000000" w:themeColor="text1"/>
        </w:rPr>
        <w:t xml:space="preserve">Zea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phyllosphere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w:t>
      </w:r>
      <w:r w:rsidRPr="00B3074D">
        <w:rPr>
          <w:rFonts w:ascii="Times New Roman" w:hAnsi="Times New Roman" w:cs="Times New Roman"/>
        </w:rPr>
        <w:lastRenderedPageBreak/>
        <w:t xml:space="preserve">hypothesized the Aatrex and Calisto tank mix would </w:t>
      </w:r>
      <w:r w:rsidR="0075436A">
        <w:rPr>
          <w:rFonts w:ascii="Times New Roman" w:hAnsi="Times New Roman" w:cs="Times New Roman"/>
        </w:rPr>
        <w:t>affect</w:t>
      </w:r>
      <w:r w:rsidRPr="00B3074D">
        <w:rPr>
          <w:rFonts w:ascii="Times New Roman" w:hAnsi="Times New Roman" w:cs="Times New Roman"/>
        </w:rPr>
        <w:t xml:space="preserve">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Powermax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4" w:name="_Toc71026834"/>
      <w:r w:rsidRPr="00B3074D">
        <w:t>Methods</w:t>
      </w:r>
      <w:bookmarkEnd w:id="4"/>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2A70ED46"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In the summer of 2018, 20 experimental plots at the Sustainable Agriculture Research and Extension Center (SAREC) in Lingle,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r w:rsidRPr="00B3074D">
        <w:rPr>
          <w:rFonts w:ascii="Times New Roman" w:hAnsi="Times New Roman" w:cs="Times New Roman"/>
          <w:i/>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{"citationItems":[{"id":"ITEM-1","itemData":{"DOI":"10.1007/s40093-019-00309-4","ISBN":"0123456789","ISSN":"22517715","abstract":"Purpose: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r w:rsidRPr="00B3074D">
        <w:rPr>
          <w:rFonts w:ascii="Times New Roman" w:hAnsi="Times New Roman" w:cs="Times New Roman"/>
          <w:color w:val="000000" w:themeColor="text1"/>
        </w:rPr>
        <w:lastRenderedPageBreak/>
        <w:t xml:space="preserve">Haverson and McCook loam (i.e. HnA),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r w:rsidRPr="00B3074D">
        <w:rPr>
          <w:rFonts w:ascii="Times New Roman" w:hAnsi="Times New Roman" w:cs="Times New Roman"/>
          <w:i/>
          <w:color w:val="000000" w:themeColor="text1"/>
          <w:shd w:val="clear" w:color="auto" w:fill="FFFFFF"/>
        </w:rPr>
        <w:t>Zea mays</w:t>
      </w:r>
      <w:r w:rsidRPr="00B3074D">
        <w:rPr>
          <w:rFonts w:ascii="Times New Roman" w:hAnsi="Times New Roman" w:cs="Times New Roman"/>
          <w:color w:val="000000" w:themeColor="text1"/>
          <w:shd w:val="clear" w:color="auto" w:fill="FFFFFF"/>
        </w:rPr>
        <w:t>. The experimental design 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PowerMax (glyphosate, group 9), Aatrex and Callisto (atrazine and mesotrione tank mix, group 5 and 27 respectively, herein referred to as Aatrex), and Clarity (dicamba, group 4). Herbicides were applied at the following recommended field rates: </w:t>
      </w:r>
      <w:commentRangeStart w:id="5"/>
      <w:r w:rsidRPr="00B3074D">
        <w:rPr>
          <w:rFonts w:ascii="Times New Roman" w:hAnsi="Times New Roman" w:cs="Times New Roman"/>
          <w:color w:val="000000" w:themeColor="text1"/>
          <w:shd w:val="clear" w:color="auto" w:fill="FFFFFF"/>
        </w:rPr>
        <w:t>Roundup PowerMax 2338.5 mL/Ha, Aatrex 1169.25 mL/Ha, Callisto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5"/>
      <w:r w:rsidR="0075436A">
        <w:rPr>
          <w:rStyle w:val="CommentReference"/>
          <w:rFonts w:ascii="Times New Roman" w:eastAsia="Times New Roman" w:hAnsi="Times New Roman" w:cs="Times New Roman"/>
          <w:color w:val="000000"/>
          <w:lang w:eastAsia="de-DE"/>
        </w:rPr>
        <w:commentReference w:id="5"/>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Amaranthus retroflexus</w:t>
      </w:r>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lastRenderedPageBreak/>
        <w:t>Per treatment plot, 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Soil samples were collected using flame sterilized soil corer to a depth of 5 cm and stored on ice in sterile Whirl-Pak bags. </w:t>
      </w:r>
      <w:commentRangeStart w:id="6"/>
      <w:r w:rsidRPr="00B3074D">
        <w:rPr>
          <w:rFonts w:ascii="Times New Roman" w:hAnsi="Times New Roman" w:cs="Times New Roman"/>
          <w:color w:val="000000" w:themeColor="text1"/>
          <w:shd w:val="clear" w:color="auto" w:fill="FFFFFF"/>
        </w:rPr>
        <w:t xml:space="preserve">Using the corn plant in the center of the Daubenmire, a 3 cm x 3 cm sample from three individual leaves of the same corn plant were composited in a sterile Whirl-Pak containing sterile silica beads used as a desiccant. </w:t>
      </w:r>
      <w:commentRangeEnd w:id="6"/>
      <w:r w:rsidR="00FB5690">
        <w:rPr>
          <w:rStyle w:val="CommentReference"/>
          <w:rFonts w:ascii="Times New Roman" w:eastAsia="Times New Roman" w:hAnsi="Times New Roman" w:cs="Times New Roman"/>
          <w:color w:val="000000"/>
          <w:lang w:eastAsia="de-DE"/>
        </w:rPr>
        <w:commentReference w:id="6"/>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00519C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and processed within 24 hours. </w:t>
      </w:r>
      <w:commentRangeStart w:id="7"/>
      <w:r w:rsidRPr="00B3074D">
        <w:rPr>
          <w:rFonts w:ascii="Times New Roman" w:hAnsi="Times New Roman" w:cs="Times New Roman"/>
          <w:color w:val="000000" w:themeColor="text1"/>
          <w:shd w:val="clear" w:color="auto" w:fill="FFFFFF"/>
        </w:rPr>
        <w:t xml:space="preserve">Leaf clippings were stored in Whirl-Pak bags on silica beads at – 80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until processed</w:t>
      </w:r>
      <w:commentRangeEnd w:id="7"/>
      <w:r w:rsidR="00FB5690">
        <w:rPr>
          <w:rStyle w:val="CommentReference"/>
          <w:rFonts w:ascii="Times New Roman" w:eastAsia="Times New Roman" w:hAnsi="Times New Roman" w:cs="Times New Roman"/>
          <w:color w:val="000000"/>
          <w:lang w:eastAsia="de-DE"/>
        </w:rPr>
        <w:commentReference w:id="7"/>
      </w:r>
      <w:r w:rsidRPr="00B3074D">
        <w:rPr>
          <w:rFonts w:ascii="Times New Roman" w:hAnsi="Times New Roman" w:cs="Times New Roman"/>
          <w:color w:val="000000" w:themeColor="text1"/>
          <w:shd w:val="clear" w:color="auto" w:fill="FFFFFF"/>
        </w:rPr>
        <w:t>.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Dionex Integrion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Fisherbrand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r w:rsidRPr="00B3074D">
        <w:rPr>
          <w:rFonts w:ascii="Times New Roman" w:hAnsi="Times New Roman" w:cs="Times New Roman"/>
          <w:color w:val="000000" w:themeColor="text1"/>
        </w:rPr>
        <w:t>Dionex IonPac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sidRPr="00B3074D">
        <w:rPr>
          <w:rFonts w:ascii="Times New Roman" w:hAnsi="Times New Roman" w:cs="Times New Roman"/>
          <w:color w:val="000000" w:themeColor="text1"/>
          <w:shd w:val="clear" w:color="auto" w:fill="FFFFFF"/>
        </w:rPr>
        <w:lastRenderedPageBreak/>
        <w:t>Cations were ran on a D</w:t>
      </w:r>
      <w:r w:rsidRPr="00B3074D">
        <w:rPr>
          <w:rFonts w:ascii="Times New Roman" w:hAnsi="Times New Roman" w:cs="Times New Roman"/>
          <w:color w:val="000000" w:themeColor="text1"/>
        </w:rPr>
        <w:t>ionex IonPac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for microbial analysis (DNA extraction for determination of microbial 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(w:v).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The enzymes measured include ß-glucosidase (BG), β-xylosidase (BX), α-glucosidase (AG), cellobiohydrolase (CBH), alkaline phosphatase (PHOS), N-acetyl-ß-glucosaminidase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 xml:space="preserve">C for 1-10 hours. Four technical </w:t>
      </w:r>
      <w:r w:rsidRPr="00B3074D">
        <w:rPr>
          <w:rFonts w:ascii="Times New Roman" w:hAnsi="Times New Roman" w:cs="Times New Roman"/>
          <w:color w:val="000000" w:themeColor="text1"/>
        </w:rPr>
        <w:lastRenderedPageBreak/>
        <w:t>replicates per soil sample were used to measure fluorescence after addition of substrates. Hydrolytic enzyme activity was measured via fluorescence on a SYNERGY HTX multi-mode reader (BioTek</w:t>
      </w:r>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DeForest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Soil and phyllosphere microbiome analysis</w:t>
      </w:r>
      <w:r w:rsidRPr="00B3074D">
        <w:rPr>
          <w:rFonts w:ascii="Times New Roman" w:hAnsi="Times New Roman" w:cs="Times New Roman"/>
          <w:color w:val="000000" w:themeColor="text1"/>
          <w:shd w:val="clear" w:color="auto" w:fill="FFFFFF"/>
        </w:rPr>
        <w:t xml:space="preserve"> </w:t>
      </w:r>
    </w:p>
    <w:p w14:paraId="75CD85E7" w14:textId="156754AD" w:rsidR="00B3074D" w:rsidRPr="00B3074D" w:rsidRDefault="009F391E" w:rsidP="00B3074D">
      <w:pPr>
        <w:spacing w:line="480" w:lineRule="auto"/>
        <w:ind w:firstLine="720"/>
        <w:rPr>
          <w:rFonts w:ascii="Times New Roman" w:hAnsi="Times New Roman" w:cs="Times New Roman"/>
          <w:color w:val="000000" w:themeColor="text1"/>
          <w:shd w:val="clear" w:color="auto" w:fill="FFFFFF"/>
        </w:rPr>
      </w:pPr>
      <w:commentRangeStart w:id="8"/>
      <w:r>
        <w:rPr>
          <w:rFonts w:ascii="Times New Roman" w:hAnsi="Times New Roman" w:cs="Times New Roman"/>
          <w:color w:val="000000" w:themeColor="text1"/>
          <w:shd w:val="clear" w:color="auto" w:fill="FFFFFF"/>
        </w:rPr>
        <w:t>C</w:t>
      </w:r>
      <w:r w:rsidR="00B3074D" w:rsidRPr="00B3074D">
        <w:rPr>
          <w:rFonts w:ascii="Times New Roman" w:hAnsi="Times New Roman" w:cs="Times New Roman"/>
          <w:color w:val="000000" w:themeColor="text1"/>
          <w:shd w:val="clear" w:color="auto" w:fill="FFFFFF"/>
        </w:rPr>
        <w:t xml:space="preserve">lippings of </w:t>
      </w:r>
      <w:r w:rsidR="00B3074D" w:rsidRPr="00B3074D">
        <w:rPr>
          <w:rFonts w:ascii="Times New Roman" w:hAnsi="Times New Roman" w:cs="Times New Roman"/>
          <w:i/>
          <w:iCs/>
          <w:color w:val="000000" w:themeColor="text1"/>
          <w:shd w:val="clear" w:color="auto" w:fill="FFFFFF"/>
        </w:rPr>
        <w:t>Zea mays</w:t>
      </w:r>
      <w:r w:rsidR="00B3074D" w:rsidRPr="00B3074D">
        <w:rPr>
          <w:rFonts w:ascii="Times New Roman" w:hAnsi="Times New Roman" w:cs="Times New Roman"/>
          <w:color w:val="000000" w:themeColor="text1"/>
          <w:shd w:val="clear" w:color="auto" w:fill="FFFFFF"/>
        </w:rPr>
        <w:t xml:space="preserve"> leaves taken at each sampling time point </w:t>
      </w:r>
      <w:r>
        <w:rPr>
          <w:rFonts w:ascii="Times New Roman" w:hAnsi="Times New Roman" w:cs="Times New Roman"/>
          <w:color w:val="000000" w:themeColor="text1"/>
          <w:shd w:val="clear" w:color="auto" w:fill="FFFFFF"/>
        </w:rPr>
        <w:t>were</w:t>
      </w:r>
      <w:r w:rsidR="00B3074D" w:rsidRPr="00B3074D">
        <w:rPr>
          <w:rFonts w:ascii="Times New Roman" w:hAnsi="Times New Roman" w:cs="Times New Roman"/>
          <w:color w:val="000000" w:themeColor="text1"/>
          <w:shd w:val="clear" w:color="auto" w:fill="FFFFFF"/>
        </w:rPr>
        <w:t xml:space="preserve"> extracted using PowerPlant extraction kits (MO BIO, Carlsbad, CA)</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according to manufacturer’s instructions</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The phyllosphere DNA extracts were </w:t>
      </w:r>
      <w:r w:rsidR="00B3074D" w:rsidRPr="00B3074D">
        <w:rPr>
          <w:rFonts w:ascii="Times New Roman" w:hAnsi="Times New Roman" w:cs="Times New Roman"/>
          <w:color w:val="000000" w:themeColor="text1"/>
          <w:shd w:val="clear" w:color="auto" w:fill="FFFFFF"/>
        </w:rPr>
        <w:t xml:space="preserve">used for assessment of the </w:t>
      </w:r>
      <w:r>
        <w:rPr>
          <w:rFonts w:ascii="Times New Roman" w:hAnsi="Times New Roman" w:cs="Times New Roman"/>
          <w:color w:val="000000" w:themeColor="text1"/>
          <w:shd w:val="clear" w:color="auto" w:fill="FFFFFF"/>
        </w:rPr>
        <w:t xml:space="preserve">both the </w:t>
      </w:r>
      <w:r w:rsidR="00B3074D" w:rsidRPr="00B3074D">
        <w:rPr>
          <w:rFonts w:ascii="Times New Roman" w:hAnsi="Times New Roman" w:cs="Times New Roman"/>
          <w:color w:val="000000" w:themeColor="text1"/>
          <w:shd w:val="clear" w:color="auto" w:fill="FFFFFF"/>
        </w:rPr>
        <w:t>endo- and epiphytic phyllosphere microbiome</w:t>
      </w:r>
      <w:r>
        <w:rPr>
          <w:rFonts w:ascii="Times New Roman" w:hAnsi="Times New Roman" w:cs="Times New Roman"/>
          <w:color w:val="000000" w:themeColor="text1"/>
          <w:shd w:val="clear" w:color="auto" w:fill="FFFFFF"/>
        </w:rPr>
        <w:t>s</w:t>
      </w:r>
      <w:commentRangeEnd w:id="8"/>
      <w:r>
        <w:rPr>
          <w:rStyle w:val="CommentReference"/>
          <w:rFonts w:ascii="Times New Roman" w:eastAsia="Times New Roman" w:hAnsi="Times New Roman" w:cs="Times New Roman"/>
          <w:color w:val="000000"/>
          <w:lang w:eastAsia="de-DE"/>
        </w:rPr>
        <w:commentReference w:id="8"/>
      </w:r>
      <w:r w:rsidR="00B3074D" w:rsidRPr="00B3074D">
        <w:rPr>
          <w:rFonts w:ascii="Times New Roman" w:hAnsi="Times New Roman" w:cs="Times New Roman"/>
          <w:color w:val="000000" w:themeColor="text1"/>
          <w:shd w:val="clear" w:color="auto" w:fill="FFFFFF"/>
        </w:rPr>
        <w:t xml:space="preserve">. Subsamples of the same soils used for edaphic measurements were </w:t>
      </w:r>
      <w:r w:rsidR="00B3074D" w:rsidRPr="00B3074D">
        <w:rPr>
          <w:rFonts w:ascii="Times New Roman" w:hAnsi="Times New Roman" w:cs="Times New Roman"/>
          <w:color w:val="000000" w:themeColor="text1"/>
          <w:shd w:val="clear" w:color="auto" w:fill="FFFFFF"/>
        </w:rPr>
        <w:lastRenderedPageBreak/>
        <w:t>extracted using PowerSoil extraction kits (</w:t>
      </w:r>
      <w:r w:rsidR="00B3074D" w:rsidRPr="00B3074D">
        <w:rPr>
          <w:rFonts w:ascii="Times New Roman" w:hAnsi="Times New Roman" w:cs="Times New Roman"/>
          <w:color w:val="000000" w:themeColor="text1"/>
        </w:rPr>
        <w:t>MO BIO, Carlsbad, CA</w:t>
      </w:r>
      <w:r w:rsidR="00B3074D"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according to manufacturer’s instructions. Both the soil and phyllosphere DNA extracts were</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stored at </w:t>
      </w:r>
      <w:r w:rsidRPr="00B3074D">
        <w:rPr>
          <w:rFonts w:ascii="Times New Roman" w:hAnsi="Times New Roman" w:cs="Times New Roman"/>
          <w:color w:val="000000" w:themeColor="text1"/>
          <w:shd w:val="clear" w:color="auto" w:fill="FFFFFF"/>
        </w:rPr>
        <w:t xml:space="preserve">-20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HotStart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HotStart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Illumnia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Axygen’s AxyPrep Mag PCR Clean-up Kit according to manufacturer instructions without addition of TE buffer (Axygen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FlowCell mastermix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w:t>
      </w:r>
      <w:r w:rsidRPr="00B3074D">
        <w:rPr>
          <w:rFonts w:ascii="Times New Roman" w:hAnsi="Times New Roman" w:cs="Times New Roman"/>
          <w:color w:val="000000" w:themeColor="text1"/>
        </w:rPr>
        <w:lastRenderedPageBreak/>
        <w:t xml:space="preserve">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HotStart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FlowCell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MagBead protocol and the Axygen’s AxyPrep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Psomagen genomic sequencing and analysis facility (Rockville, MD) on their NovaSeq6000 using paired end 2 x 250 bp chemistry with a 10% PhiX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9"/>
      <w:r>
        <w:rPr>
          <w:rFonts w:ascii="Times New Roman" w:hAnsi="Times New Roman" w:cs="Times New Roman"/>
          <w:i/>
          <w:iCs/>
          <w:color w:val="000000" w:themeColor="text1"/>
        </w:rPr>
        <w:t>data</w:t>
      </w:r>
      <w:commentRangeEnd w:id="9"/>
      <w:r>
        <w:rPr>
          <w:rStyle w:val="CommentReference"/>
          <w:rFonts w:ascii="Times New Roman" w:eastAsia="Times New Roman" w:hAnsi="Times New Roman" w:cs="Times New Roman"/>
          <w:color w:val="000000"/>
          <w:lang w:eastAsia="de-DE"/>
        </w:rPr>
        <w:commentReference w:id="9"/>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pseudoreplication and would violate the assumption of independent observations, we argue that pseudoreplication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w:t>
      </w:r>
      <w:r w:rsidRPr="00B3074D">
        <w:rPr>
          <w:rFonts w:ascii="Times New Roman" w:hAnsi="Times New Roman" w:cs="Times New Roman"/>
          <w:color w:val="000000" w:themeColor="text1"/>
          <w:shd w:val="clear" w:color="auto" w:fill="FFFFFF"/>
        </w:rPr>
        <w:lastRenderedPageBreak/>
        <w:t>ability to assess variation within a treatment plot. This was only of concern for the edaphic measurements, as we used a single sample from each plot for our enzyme analysis.</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548414D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rPr>
        <w:t xml:space="preserve">All statistical analyses were carried out in R V3.5.2-Eggshell Igloo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[39]</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three time points. In both cases, ANCOVA was used for our statistical analyses. Assumptions of ANCOVA, including normality of residuals and equal variance, were met prior to using this framework.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the effect of 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dataset was again split by time point and weed removal treatment type with the same comparison methods applied as was done for the edaphic parameters. In addition, using a conservative mixed modeling approach, we examined the effect of time, weed removal treatment, and total weedy vegetation on enzyme activity simultaneously using linear mixed models with fixed effects of weed removal </w:t>
      </w:r>
      <w:r w:rsidRPr="00B3074D">
        <w:rPr>
          <w:rFonts w:ascii="Times New Roman" w:hAnsi="Times New Roman" w:cs="Times New Roman"/>
          <w:color w:val="000000" w:themeColor="text1"/>
          <w:shd w:val="clear" w:color="auto" w:fill="FFFFFF"/>
        </w:rPr>
        <w:lastRenderedPageBreak/>
        <w:t xml:space="preserve">treatment, pre-treatment enzyme activity (to account for initial differences), total weedy vegetation, and a time*weed removal treatment interaction, with a random effect of sampling time to account for temporal non-independence (Y ~ pre-treatment enzyme activity + treatment + time  + total weedy vegetation + treatment*time + (1|time), data = all data points from time two and three). </w:t>
      </w:r>
    </w:p>
    <w:p w14:paraId="153666D5" w14:textId="06AAC12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PerMANOVA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ONE","editor":[{"dropping-particle":"","family":"Watson","given":"Michael","non-dropping-particle":"","parse-names":false,"suffix":""}],"id":"ITEM-2","issue":"4","issued":{"date-parts":[["2013","4","22"]]},"page":"e61217","title":"phyloseq: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Microbiome analyses</w:t>
      </w:r>
    </w:p>
    <w:p w14:paraId="64AE6249"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Both multivariate (PerMANOVA) and univariate (indicator species analysis and linear models of alpha diversity) will be used to assess the effects weed removal treatment has on the soil and phyllosphere microbiome. </w:t>
      </w:r>
    </w:p>
    <w:p w14:paraId="10FD85C8"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p>
    <w:p w14:paraId="6901F56A" w14:textId="77777777" w:rsidR="00B3074D" w:rsidRPr="00B3074D" w:rsidRDefault="00B3074D" w:rsidP="00B3074D">
      <w:pPr>
        <w:pStyle w:val="headingdissertation"/>
        <w:spacing w:line="480" w:lineRule="auto"/>
      </w:pPr>
      <w:bookmarkStart w:id="11" w:name="_Toc71026835"/>
      <w:r w:rsidRPr="00B3074D">
        <w:t>Results</w:t>
      </w:r>
      <w:bookmarkEnd w:id="11"/>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lastRenderedPageBreak/>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Examination of edaphic parameters within in a single time point revealed no significant differences pre-treatment (time one) among the weed removal treatments when the effect of total weedy vegetation was accounted for (Table 2 and Supplementary Tables 1a and 1b). At 10 days (time two) and 20 days (time three) post-treatment, nitrate and total inorganic nitrogen (N) concentration were significantly different (p &lt; 0.05) (Figure 1, Table 2), with weed removal treatment being a significant predictor at both time points but total weedy vegetation being significant only for sampling time two. Plots treated with RoundUp Powermax had higher levels of nitrate and total inorganic N than the handweeded plots at timepoint two and three (p &lt; 0.05). At time three, Roundup treated plots also had significantly higher nitrate concentrations as compared to the nontreated and Aatrex treated plots (p &lt; 0.05). We observed the same trend at sampling time two, but the differences were only marginally significant (p  &lt; 0.09). The handweeded plots had lower moisture content as compared to the Aatrex and Clarity plots at </w:t>
      </w:r>
      <w:r w:rsidRPr="00B3074D">
        <w:rPr>
          <w:rFonts w:ascii="Times New Roman" w:hAnsi="Times New Roman" w:cs="Times New Roman"/>
          <w:color w:val="000000" w:themeColor="text1"/>
          <w:shd w:val="clear" w:color="auto" w:fill="FFFFFF"/>
        </w:rPr>
        <w:lastRenderedPageBreak/>
        <w:t xml:space="preserve">time two (p &lt; 0.01), but not at time three. No significant differences in pH, EC, or other nutrients were detected at 10 or 20 days post-treatment. </w:t>
      </w:r>
    </w:p>
    <w:p w14:paraId="180F5A1F"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When examining how our soil variables changed over time within a single weed removal treatment while controlling for total weedy vegetation,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(p &lt; 0.05) (Figure 1). This was also true for the concentration of magnesium and calcium, with a trend of decreasing concentration over the 20 day sampling period. Total weedy vegetation was only a significant predictor of nitrate concentration in the handweeded plots.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7777777"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t xml:space="preserve">Our models showed the response of extracellular enzyme activity to weed removal treatment to be limited as well as enzyme and sampling time specific. There were no significant differences in total enzymatic profiles among herbicide treatments at any of the sampling times </w:t>
      </w:r>
      <w:r w:rsidRPr="00B3074D">
        <w:rPr>
          <w:rFonts w:ascii="Times New Roman" w:hAnsi="Times New Roman" w:cs="Times New Roman"/>
          <w:color w:val="000000" w:themeColor="text1"/>
          <w:shd w:val="clear" w:color="auto" w:fill="FFFFFF"/>
        </w:rPr>
        <w:lastRenderedPageBreak/>
        <w:t>(p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&lt; 0.195) (Figure 2). However, total weedy vegetation cover was a significant predictor of differences in enzymatic profiles at the 10 and 20 days post-treatment sample times (p &lt; 0.05, 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differences in individual enzymes, only alkaline phosphatase (PHOS), </w:t>
      </w:r>
      <w:r w:rsidRPr="00B3074D">
        <w:rPr>
          <w:rFonts w:ascii="Times New Roman" w:hAnsi="Times New Roman" w:cs="Times New Roman"/>
          <w:color w:val="000000" w:themeColor="text1"/>
        </w:rPr>
        <w:t>ß-glucosidase (BG), and the ratio of N:P cycling enzymes showed a significant differences among herbicide treatments at time point one and two in the global models (p &lt; 0.05) (Figure 3,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were limited to PHOS activity and the ratio of N:P cycling enzymes at sampling time one (pre-treatment), with the nontreated plots having higher initial PHOS activity as compared to the handweeded plots, and lower N:P ratio as compared to the handweeded and Aatrex treated plots. While not statistically significant, this trend flipped at sampling time two and three with handweeded plots exhibiting the highest mean PHOS activity across all treatment types (Figure 3a).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there were only a few significant differences in enzyme activities over the 20 day sampling period. The Aatrex,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lastRenderedPageBreak/>
        <w:t>=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measured enzyme activities over time, showing a statistically significant increase in activity at 10 days after treatment followed by a reduction 20 days after treatment for both the handweeded and Roundup Powermax plots (p &lt; 0.05). No correlation was found between phosphate ion concentration and PHOS activity when considering all plots (p &gt; 0.9, r = 0.011). In addition to PHOS activity, both the handweeded and Roundup treated plots had similar trends over time for BG, AG, BX, and the ratio of C:N cycling enzymes, with the lowest activity at time one, the highest at time two and a return to pretreatment levels at sampling time three (Figure 4). However, this was only statistically significant for the handweeded plots (p &lt; 0.05) (Table 5 and Supplementary Tables 4a and 4b).</w:t>
      </w:r>
    </w:p>
    <w:p w14:paraId="2642943A"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(Figure 3b &amp; 3c). PHOS activity at time one was deemed a significant predictor of PHOS activity at time two and three (p &lt; 0.05). Both herbicide treatment (p = 0.057) and the treatment by time interaction (p = 0.052) were marginally significant for predicting PHOS activity as well (Figure 3a).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 xml:space="preserve">Finally, mantel testing of edaphic conditions and enzymatic activities showed that distance matrices of nutrient availability and total enzymatic profile were not correlated (p &gt; 0.75, r = -0.037). </w:t>
      </w:r>
    </w:p>
    <w:p w14:paraId="3E85664C" w14:textId="77777777" w:rsidR="00B3074D" w:rsidRPr="00B3074D" w:rsidRDefault="00B3074D" w:rsidP="00B3074D">
      <w:pPr>
        <w:pStyle w:val="headingdissertation"/>
        <w:spacing w:line="480" w:lineRule="auto"/>
      </w:pPr>
      <w:r w:rsidRPr="00B3074D">
        <w:br/>
      </w:r>
      <w:bookmarkStart w:id="12" w:name="_Toc71026836"/>
      <w:r w:rsidRPr="00B3074D">
        <w:t>Discussion</w:t>
      </w:r>
      <w:bookmarkEnd w:id="12"/>
    </w:p>
    <w:p w14:paraId="1EB24B3A" w14:textId="77777777" w:rsidR="00B3074D" w:rsidRPr="00B3074D" w:rsidRDefault="00B3074D" w:rsidP="00B3074D">
      <w:pPr>
        <w:pStyle w:val="headingdissertation"/>
        <w:spacing w:line="480" w:lineRule="auto"/>
      </w:pPr>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w:t>
      </w:r>
      <w:r w:rsidRPr="00B3074D">
        <w:rPr>
          <w:rFonts w:ascii="Times New Roman" w:hAnsi="Times New Roman" w:cs="Times New Roman"/>
          <w:color w:val="000000" w:themeColor="text1"/>
          <w:shd w:val="clear" w:color="auto" w:fill="FFFFFF"/>
        </w:rPr>
        <w:lastRenderedPageBreak/>
        <w:t>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Powermax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Hagner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w:t>
      </w:r>
      <w:r w:rsidRPr="00B3074D">
        <w:rPr>
          <w:rFonts w:ascii="Times New Roman" w:hAnsi="Times New Roman" w:cs="Times New Roman"/>
          <w:color w:val="000000" w:themeColor="text1"/>
          <w:shd w:val="clear" w:color="auto" w:fill="FFFFFF"/>
        </w:rPr>
        <w:lastRenderedPageBreak/>
        <w:t xml:space="preserve">nontreated. Our results showed nitrate levels to be lowest in our handweeded and nontreated plots, with concentrations being higher in our Roundup plots. While our results differ slightly form Hagner et al., we show that nitrate concentrations were significantly correlated with vegetation cover, and at 20 days post-treatment, the handweeded plots experienced an increase in weedy vegetation cover and </w:t>
      </w:r>
      <w:r w:rsidRPr="00B3074D">
        <w:rPr>
          <w:rFonts w:ascii="Times New Roman" w:hAnsi="Times New Roman" w:cs="Times New Roman"/>
          <w:i/>
          <w:iCs/>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Hagner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Hagner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Aatrex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r w:rsidRPr="00B3074D">
        <w:rPr>
          <w:rFonts w:ascii="Times New Roman" w:hAnsi="Times New Roman" w:cs="Times New Roman"/>
          <w:color w:val="000000" w:themeColor="text1"/>
        </w:rPr>
        <w:t>Aatrex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Zea mays, and other weedy </w:t>
      </w:r>
      <w:r w:rsidRPr="00B3074D">
        <w:rPr>
          <w:rFonts w:ascii="Times New Roman" w:hAnsi="Times New Roman" w:cs="Times New Roman"/>
          <w:color w:val="000000" w:themeColor="text1"/>
          <w:shd w:val="clear" w:color="auto" w:fill="FFFFFF"/>
        </w:rPr>
        <w:lastRenderedPageBreak/>
        <w:t xml:space="preserve">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Powermax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Powermax treated plots between sampling times two and three. As extracellular enzymes are costly to </w:t>
      </w:r>
      <w:r w:rsidRPr="00B3074D">
        <w:rPr>
          <w:rFonts w:ascii="Times New Roman" w:hAnsi="Times New Roman" w:cs="Times New Roman"/>
          <w:color w:val="000000" w:themeColor="text1"/>
          <w:shd w:val="clear" w:color="auto" w:fill="FFFFFF"/>
        </w:rPr>
        <w:lastRenderedPageBreak/>
        <w:t xml:space="preserve">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Cherni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Cherni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Powermax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w:t>
      </w:r>
      <w:r w:rsidRPr="00B3074D">
        <w:rPr>
          <w:rFonts w:ascii="Times New Roman" w:hAnsi="Times New Roman" w:cs="Times New Roman"/>
          <w:color w:val="000000" w:themeColor="text1"/>
          <w:shd w:val="clear" w:color="auto" w:fill="FFFFFF"/>
        </w:rPr>
        <w:lastRenderedPageBreak/>
        <w:t xml:space="preserve">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w:t>
      </w:r>
      <w:r w:rsidRPr="00B3074D">
        <w:rPr>
          <w:rFonts w:ascii="Times New Roman" w:hAnsi="Times New Roman" w:cs="Times New Roman"/>
          <w:color w:val="000000" w:themeColor="text1"/>
          <w:shd w:val="clear" w:color="auto" w:fill="FFFFFF"/>
        </w:rPr>
        <w:lastRenderedPageBreak/>
        <w:t xml:space="preserve">differences are most likely mediated through indirect effects. While our experiment examined several herbicides and compared them to both handweeded and nontreated controls, the differences recovered were mostly limited to the Roundup Powermax and handweeded treatment 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phyllosphere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Powermax,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mesotrione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w:t>
      </w:r>
      <w:r w:rsidRPr="00B3074D">
        <w:rPr>
          <w:rFonts w:ascii="Times New Roman" w:hAnsi="Times New Roman" w:cs="Times New Roman"/>
          <w:color w:val="000000" w:themeColor="text1"/>
          <w:shd w:val="clear" w:color="auto" w:fill="FFFFFF"/>
        </w:rPr>
        <w:lastRenderedPageBreak/>
        <w:t xml:space="preserve">genes and mobile genetic elements in microbial populations. As such, even if no effects on enzymatic function or microbial taxonomic assemblages are detected, the effects of herbicide on 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3" w:name="_Toc71026837"/>
      <w:r w:rsidRPr="0037707D">
        <w:t>Tables</w:t>
      </w:r>
      <w:bookmarkEnd w:id="13"/>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4" w:name="OLE_LINK3"/>
            <w:bookmarkStart w:id="15" w:name="OLE_LINK4"/>
            <w:r w:rsidRPr="0037707D">
              <w:rPr>
                <w:color w:val="000000" w:themeColor="text1"/>
              </w:rPr>
              <w:t>atrazine and mesotrione tank mix</w:t>
            </w:r>
            <w:bookmarkEnd w:id="14"/>
            <w:bookmarkEnd w:id="15"/>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708521A9"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4878DA">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4878DA">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4878DA">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2"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4878DA">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2"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4878DA">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2"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4878DA">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2"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4878DA">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2"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4878DA">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2"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4878DA">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2"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4878DA">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2"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4878DA">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2"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4878DA">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2"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4878DA">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4878DA">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4878DA">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4878DA">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4878DA">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4878DA">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2"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4878DA">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4878DA">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2"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4878DA">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2"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4878DA">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4878DA">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4878DA">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2"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4878DA">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2"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4878DA">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4878DA">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4878DA">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4878DA">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2"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4878DA">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2"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4878DA">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2"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4878DA">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2"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4878DA">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2"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4878DA">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2"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4878DA">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2"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4878DA">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2"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4878DA">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2"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4878DA">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2"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4878DA">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4878DA">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4878DA">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4878DA">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2"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4878DA">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2"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4878DA">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2"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4878DA">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2"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4878DA">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2"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4878DA">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2"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4878DA">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2"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4878DA">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2"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4878DA">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2"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4878DA">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2"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4878DA">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4878DA">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4878DA">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4878DA">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2"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4878DA">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2"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4878DA">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2"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4878DA">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2"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4878DA">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2"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4878DA">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2"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4878DA">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2"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4878DA">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2"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4878DA">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2"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4878DA">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2"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1186C30D" w14:textId="77777777" w:rsidR="00B3074D" w:rsidRPr="0037707D" w:rsidRDefault="00B3074D" w:rsidP="00B3074D">
      <w:pPr>
        <w:pStyle w:val="headingdissertation"/>
      </w:pPr>
      <w:bookmarkStart w:id="16" w:name="_Toc71026838"/>
      <w:r w:rsidRPr="0037707D">
        <w:lastRenderedPageBreak/>
        <w:t>Figures</w:t>
      </w:r>
      <w:bookmarkEnd w:id="16"/>
      <w:r w:rsidRPr="0037707D">
        <w:t xml:space="preserve"> </w:t>
      </w:r>
    </w:p>
    <w:p w14:paraId="79F58330"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5AB6D4DA"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1. Soil nitrate concentration by treatment across sampling times. </w:t>
      </w:r>
      <w:r w:rsidRPr="0037707D">
        <w:rPr>
          <w:rFonts w:ascii="Calibri" w:hAnsi="Calibri" w:cs="Calibri"/>
          <w:color w:val="000000" w:themeColor="text1"/>
        </w:rPr>
        <w:t>﻿</w:t>
      </w:r>
      <w:r w:rsidRPr="0037707D">
        <w:rPr>
          <w:rFonts w:ascii="Times New Roman" w:hAnsi="Times New Roman" w:cs="Times New Roman"/>
          <w:color w:val="000000" w:themeColor="text1"/>
        </w:rPr>
        <w:t xml:space="preserve">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weed removal treatments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 No letters indicate lack of significant pairwise differences.</w:t>
      </w:r>
    </w:p>
    <w:p w14:paraId="33109852"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1EB05590"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5E0BF0EC" wp14:editId="0B2671C4">
            <wp:extent cx="5486400" cy="3201652"/>
            <wp:effectExtent l="0" t="0" r="0" b="0"/>
            <wp:docPr id="17" name="Content Placeholder 16" descr="Chart, waterfall chart, box and whisker chart&#10;&#10;Description automatically generated">
              <a:extLst xmlns:a="http://schemas.openxmlformats.org/drawingml/2006/main">
                <a:ext uri="{FF2B5EF4-FFF2-40B4-BE49-F238E27FC236}">
                  <a16:creationId xmlns:a16="http://schemas.microsoft.com/office/drawing/2014/main" id="{619F7B50-01F3-5A43-B375-283C646FF2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619F7B50-01F3-5A43-B375-283C646FF27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95954" cy="3207227"/>
                    </a:xfrm>
                    <a:prstGeom prst="rect">
                      <a:avLst/>
                    </a:prstGeom>
                  </pic:spPr>
                </pic:pic>
              </a:graphicData>
            </a:graphic>
          </wp:inline>
        </w:drawing>
      </w:r>
    </w:p>
    <w:p w14:paraId="6DCF2BA2"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3FC9DA24" w14:textId="77777777" w:rsidR="00B3074D" w:rsidRPr="0037707D" w:rsidRDefault="00B3074D" w:rsidP="00B3074D">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3DC26D52"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lastRenderedPageBreak/>
        <w:t xml:space="preserve">Figure 2. Non-metric multi-dimensional scaling (NMDS) of total enzymatic profiles. Treatment type was not a significant predictor as per Adonis testing at any of the three time points. Each panel represents samples collected from a single time point, time one (a), time two (b), and time three (c). Ellipses represent the 95% confidence interval for the mean of each treatment. Points represent individual soil samples and are colored by treatment type. </w:t>
      </w:r>
    </w:p>
    <w:p w14:paraId="66E8BF40"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5CE7327C" wp14:editId="2C88A76C">
            <wp:extent cx="6587381" cy="4287753"/>
            <wp:effectExtent l="0" t="0" r="4445" b="5080"/>
            <wp:docPr id="11" name="Content Placeholder 4" descr="Diagram&#10;&#10;Description automatically generated">
              <a:extLst xmlns:a="http://schemas.openxmlformats.org/drawingml/2006/main">
                <a:ext uri="{FF2B5EF4-FFF2-40B4-BE49-F238E27FC236}">
                  <a16:creationId xmlns:a16="http://schemas.microsoft.com/office/drawing/2014/main" id="{907A9263-57BA-404D-80E9-21CC89F79F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7A9263-57BA-404D-80E9-21CC89F79F1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7381" cy="4287753"/>
                    </a:xfrm>
                    <a:prstGeom prst="rect">
                      <a:avLst/>
                    </a:prstGeom>
                  </pic:spPr>
                </pic:pic>
              </a:graphicData>
            </a:graphic>
          </wp:inline>
        </w:drawing>
      </w:r>
      <w:r w:rsidRPr="0037707D" w:rsidDel="00275ED7">
        <w:rPr>
          <w:rFonts w:ascii="Times New Roman" w:hAnsi="Times New Roman" w:cs="Times New Roman"/>
          <w:color w:val="000000" w:themeColor="text1"/>
        </w:rPr>
        <w:t xml:space="preserve"> </w:t>
      </w:r>
    </w:p>
    <w:p w14:paraId="09FDD9A3"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6A92FE74"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br w:type="page"/>
      </w:r>
      <w:r w:rsidRPr="0037707D">
        <w:rPr>
          <w:rFonts w:ascii="Times New Roman" w:hAnsi="Times New Roman" w:cs="Times New Roman"/>
          <w:color w:val="000000" w:themeColor="text1"/>
        </w:rPr>
        <w:lastRenderedPageBreak/>
        <w:t xml:space="preserve">Figure 3. a) Phosphatase (PHOS), b) ß-glucosidase (BG),  and c) leucine aminopeptidase (LAP) activity by treatment across sampling times. </w:t>
      </w:r>
      <w:r w:rsidRPr="0037707D">
        <w:rPr>
          <w:rFonts w:ascii="Calibri" w:hAnsi="Calibri" w:cs="Calibri"/>
          <w:color w:val="000000" w:themeColor="text1"/>
        </w:rPr>
        <w:t>﻿</w:t>
      </w:r>
      <w:r w:rsidRPr="0037707D">
        <w:rPr>
          <w:rFonts w:ascii="Times New Roman" w:hAnsi="Times New Roman" w:cs="Times New Roman"/>
          <w:color w:val="000000" w:themeColor="text1"/>
        </w:rPr>
        <w:t xml:space="preserve">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weed removal treatments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 No letters indicate lack of significant pairwise differences.</w:t>
      </w:r>
    </w:p>
    <w:p w14:paraId="2438A9D8"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118BB50D" wp14:editId="37AD6CE5">
            <wp:extent cx="6366656" cy="5298831"/>
            <wp:effectExtent l="0" t="0" r="0" b="0"/>
            <wp:docPr id="13" name="Content Placeholder 4" descr="Chart&#10;&#10;Description automatically generated">
              <a:extLst xmlns:a="http://schemas.openxmlformats.org/drawingml/2006/main">
                <a:ext uri="{FF2B5EF4-FFF2-40B4-BE49-F238E27FC236}">
                  <a16:creationId xmlns:a16="http://schemas.microsoft.com/office/drawing/2014/main" id="{4E890E72-9A98-0645-BCC4-DD0561AFDA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890E72-9A98-0645-BCC4-DD0561AFDAE6}"/>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69524" cy="5301218"/>
                    </a:xfrm>
                    <a:prstGeom prst="rect">
                      <a:avLst/>
                    </a:prstGeom>
                  </pic:spPr>
                </pic:pic>
              </a:graphicData>
            </a:graphic>
          </wp:inline>
        </w:drawing>
      </w:r>
    </w:p>
    <w:p w14:paraId="2CD8870E"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p>
    <w:p w14:paraId="09C1F7C9" w14:textId="77777777" w:rsidR="00B3074D" w:rsidRPr="0037707D" w:rsidRDefault="00B3074D" w:rsidP="00B3074D">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714B895F" w14:textId="77777777" w:rsidR="00B3074D" w:rsidRPr="0037707D" w:rsidRDefault="00B3074D" w:rsidP="00B3074D">
      <w:pPr>
        <w:rPr>
          <w:rFonts w:ascii="Times New Roman" w:hAnsi="Times New Roman" w:cs="Times New Roman"/>
          <w:color w:val="000000" w:themeColor="text1"/>
        </w:rPr>
      </w:pPr>
    </w:p>
    <w:p w14:paraId="79E1F9EB"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4. Enzyme activities of the a) handweeded and b) Roundup Powermax treatment plots over three sampling times. Enzyme activities were significant as per global models for AG, BG, BX, PHOS, and the ratio of C:N cycling enzymes for the handweeded plots. Only PHOS activity was significant in the Roundup Powermax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6D3DA8AD" w14:textId="77777777" w:rsidR="00B3074D" w:rsidRPr="0037707D" w:rsidRDefault="00B3074D" w:rsidP="00B3074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13375760" wp14:editId="4D1FAA9B">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3"/>
                    <a:stretch>
                      <a:fillRect/>
                    </a:stretch>
                  </pic:blipFill>
                  <pic:spPr>
                    <a:xfrm>
                      <a:off x="0" y="0"/>
                      <a:ext cx="6016639" cy="5584306"/>
                    </a:xfrm>
                    <a:prstGeom prst="rect">
                      <a:avLst/>
                    </a:prstGeom>
                  </pic:spPr>
                </pic:pic>
              </a:graphicData>
            </a:graphic>
          </wp:inline>
        </w:drawing>
      </w:r>
    </w:p>
    <w:p w14:paraId="717CDBDF" w14:textId="77777777" w:rsidR="00B3074D" w:rsidRPr="0037707D" w:rsidRDefault="00B3074D" w:rsidP="00B3074D">
      <w:pPr>
        <w:spacing w:line="480" w:lineRule="auto"/>
        <w:rPr>
          <w:rFonts w:ascii="Times New Roman" w:hAnsi="Times New Roman" w:cs="Times New Roman"/>
          <w:color w:val="000000" w:themeColor="text1"/>
        </w:rPr>
      </w:pPr>
    </w:p>
    <w:p w14:paraId="46AF971E" w14:textId="77777777" w:rsidR="00B3074D" w:rsidRPr="00B3074D" w:rsidRDefault="00B3074D" w:rsidP="00B3074D">
      <w:pPr>
        <w:spacing w:line="480" w:lineRule="auto"/>
        <w:rPr>
          <w:rFonts w:ascii="Times New Roman" w:hAnsi="Times New Roman" w:cs="Times New Roman"/>
        </w:rPr>
      </w:pP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ordon Fritz Custer" w:date="2021-05-07T09: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3" w:author="Gordon Fritz Custer" w:date="2021-05-07T10:45:00Z" w:initials="GFC">
    <w:p w14:paraId="6B08E469" w14:textId="1B10041B" w:rsidR="0075436A" w:rsidRDefault="0075436A">
      <w:pPr>
        <w:pStyle w:val="CommentText"/>
      </w:pPr>
      <w:r>
        <w:rPr>
          <w:rStyle w:val="CommentReference"/>
        </w:rPr>
        <w:annotationRef/>
      </w:r>
      <w:r>
        <w:t>Josh, I think we should insert an introduction paragraph on the phyllosphere here. We shoud probably rework the flow of the intro once we have phyllosphere info included.</w:t>
      </w:r>
    </w:p>
  </w:comment>
  <w:comment w:id="5" w:author="Gordon Fritz Custer" w:date="2021-05-07T10: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6" w:author="Gordon Fritz Custer" w:date="2021-05-07T10:57:00Z" w:initials="GFC">
    <w:p w14:paraId="6CB081F8" w14:textId="7B21EAFC" w:rsidR="00FB5690" w:rsidRDefault="00FB5690">
      <w:pPr>
        <w:pStyle w:val="CommentText"/>
      </w:pPr>
      <w:r>
        <w:rPr>
          <w:rStyle w:val="CommentReference"/>
        </w:rPr>
        <w:annotationRef/>
      </w:r>
      <w:r>
        <w:t xml:space="preserve">Josh, please edit this as you see fit. This is what I remember. </w:t>
      </w:r>
    </w:p>
  </w:comment>
  <w:comment w:id="7" w:author="Gordon Fritz Custer" w:date="2021-05-07T11:02:00Z" w:initials="GFC">
    <w:p w14:paraId="5F40CC6B" w14:textId="6F337D72" w:rsidR="00FB5690" w:rsidRDefault="00FB5690">
      <w:pPr>
        <w:pStyle w:val="CommentText"/>
      </w:pPr>
      <w:r>
        <w:rPr>
          <w:rStyle w:val="CommentReference"/>
        </w:rPr>
        <w:annotationRef/>
      </w:r>
      <w:r>
        <w:t xml:space="preserve">Josh, again edit as you see fit. </w:t>
      </w:r>
    </w:p>
  </w:comment>
  <w:comment w:id="8" w:author="Gordon Fritz Custer" w:date="2021-05-07T11:11:00Z" w:initials="GFC">
    <w:p w14:paraId="3E48FD4A" w14:textId="72E30F65" w:rsidR="009F391E" w:rsidRDefault="009F391E">
      <w:pPr>
        <w:pStyle w:val="CommentText"/>
      </w:pPr>
      <w:r>
        <w:rPr>
          <w:rStyle w:val="CommentReference"/>
        </w:rPr>
        <w:annotationRef/>
      </w:r>
      <w:r>
        <w:t xml:space="preserve">Josh, same comment as above. I’m super unfamiliar with this stuff. </w:t>
      </w:r>
    </w:p>
  </w:comment>
  <w:comment w:id="9" w:author="Gordon Fritz Custer" w:date="2021-05-07T11: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Josh, care to take a stab at this? You are more familiar with what was done in the Vsearch pipeline.</w:t>
      </w:r>
      <w:r>
        <w:rPr>
          <w:color w:val="000000" w:themeColor="text1"/>
        </w:rPr>
        <w:t xml:space="preserve"> I believe</w:t>
      </w:r>
      <w:bookmarkStart w:id="10" w:name="_GoBack"/>
      <w:bookmarkEnd w:id="10"/>
      <w:r>
        <w:rPr>
          <w:color w:val="000000" w:themeColor="text1"/>
        </w:rPr>
        <w:t xml:space="preser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 xml:space="preserve">Taxonomy was assigned with gg16s_13.5 and </w:t>
      </w:r>
      <w:r w:rsidRPr="009F391E">
        <w:rPr>
          <w:color w:val="000000" w:themeColor="text1"/>
        </w:rPr>
        <w:t>unite4_02_20.fa</w:t>
      </w:r>
      <w:r w:rsidRPr="009F391E">
        <w:rPr>
          <w:color w:val="000000" w:themeColor="text1"/>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F95C84" w15:done="0"/>
  <w15:commentEx w15:paraId="6B08E469" w15:done="0"/>
  <w15:commentEx w15:paraId="494B6FD2" w15:done="0"/>
  <w15:commentEx w15:paraId="6CB081F8" w15:done="0"/>
  <w15:commentEx w15:paraId="5F40CC6B" w15:done="0"/>
  <w15:commentEx w15:paraId="3E48FD4A" w15:done="0"/>
  <w15:commentEx w15:paraId="0DD8BF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790" w16cex:dateUtc="2021-05-07T15:32:00Z"/>
  <w16cex:commentExtensible w16cex:durableId="243F98B6" w16cex:dateUtc="2021-05-07T16:45:00Z"/>
  <w16cex:commentExtensible w16cex:durableId="243F9AD2" w16cex:dateUtc="2021-05-07T16:54:00Z"/>
  <w16cex:commentExtensible w16cex:durableId="243F9BA3" w16cex:dateUtc="2021-05-07T16:57:00Z"/>
  <w16cex:commentExtensible w16cex:durableId="243F9CBE" w16cex:dateUtc="2021-05-07T17:02:00Z"/>
  <w16cex:commentExtensible w16cex:durableId="243F9EFF" w16cex:dateUtc="2021-05-07T17:11:00Z"/>
  <w16cex:commentExtensible w16cex:durableId="243F9FE1" w16cex:dateUtc="2021-05-07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F95C84" w16cid:durableId="243F8790"/>
  <w16cid:commentId w16cid:paraId="6B08E469" w16cid:durableId="243F98B6"/>
  <w16cid:commentId w16cid:paraId="494B6FD2" w16cid:durableId="243F9AD2"/>
  <w16cid:commentId w16cid:paraId="6CB081F8" w16cid:durableId="243F9BA3"/>
  <w16cid:commentId w16cid:paraId="5F40CC6B" w16cid:durableId="243F9CBE"/>
  <w16cid:commentId w16cid:paraId="3E48FD4A" w16cid:durableId="243F9EFF"/>
  <w16cid:commentId w16cid:paraId="0DD8BF1D" w16cid:durableId="243F9F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6"/>
  </w:num>
  <w:num w:numId="8">
    <w:abstractNumId w:val="28"/>
  </w:num>
  <w:num w:numId="9">
    <w:abstractNumId w:val="10"/>
  </w:num>
  <w:num w:numId="10">
    <w:abstractNumId w:val="27"/>
  </w:num>
  <w:num w:numId="11">
    <w:abstractNumId w:val="29"/>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3D1C5E"/>
    <w:rsid w:val="004878DA"/>
    <w:rsid w:val="0075436A"/>
    <w:rsid w:val="009F391E"/>
    <w:rsid w:val="00AE3027"/>
    <w:rsid w:val="00B3074D"/>
    <w:rsid w:val="00CF4814"/>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BC73-FAA3-AD42-9AA3-ED34DA8D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36</Pages>
  <Words>38008</Words>
  <Characters>216649</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2</cp:revision>
  <dcterms:created xsi:type="dcterms:W3CDTF">2021-05-07T15:26:00Z</dcterms:created>
  <dcterms:modified xsi:type="dcterms:W3CDTF">2021-05-07T17:17:00Z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http://www.zotero.org/styles/asa-cssa-sssa</vt:lpwstr>
  </property>
  <property fmtid="{D5CDD505-2E9C-101B-9397-08002B2CF9AE}" pid="5" name="Mendeley Recent Style Name 1_1">
    <vt:lpwstr>American Society of Agronomy, Crop Science Society of America, Soil Science Society of America</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http://www.zotero.org/styles/journal-of-molecular-biology</vt:lpwstr>
  </property>
  <property fmtid="{D5CDD505-2E9C-101B-9397-08002B2CF9AE}" pid="15" name="Mendeley Recent Style Name 6_1">
    <vt:lpwstr>Journal of Molecular Biology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