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45750E1D" w14:textId="77777777"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to handweeded and nontreated control plots to understand how herbicide application may affect </w:t>
      </w:r>
      <w:r>
        <w:rPr>
          <w:rFonts w:ascii="Times New Roman" w:hAnsi="Times New Roman" w:cs="Times New Roman"/>
          <w:color w:val="000000" w:themeColor="text1"/>
        </w:rPr>
        <w:t xml:space="preserve">both </w:t>
      </w:r>
      <w:r w:rsidRPr="00B3074D">
        <w:rPr>
          <w:rFonts w:ascii="Times New Roman" w:hAnsi="Times New Roman" w:cs="Times New Roman"/>
          <w:color w:val="000000" w:themeColor="text1"/>
        </w:rPr>
        <w:t>soil</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phyllosphere</w:t>
      </w:r>
      <w:proofErr w:type="spellEnd"/>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p>
    <w:p w14:paraId="61BFB6AB" w14:textId="77777777" w:rsidR="00B3074D" w:rsidRDefault="00B3074D" w:rsidP="00B3074D">
      <w:pPr>
        <w:spacing w:line="480" w:lineRule="auto"/>
        <w:ind w:firstLine="720"/>
        <w:rPr>
          <w:rFonts w:ascii="Times New Roman" w:hAnsi="Times New Roman" w:cs="Times New Roman"/>
          <w:color w:val="000000" w:themeColor="text1"/>
        </w:rPr>
      </w:pPr>
    </w:p>
    <w:p w14:paraId="1E20F0AB" w14:textId="36AB393D" w:rsidR="00B3074D" w:rsidRPr="00B3074D" w:rsidRDefault="00B3074D" w:rsidP="00B3074D">
      <w:pPr>
        <w:spacing w:line="480" w:lineRule="auto"/>
        <w:ind w:firstLine="720"/>
        <w:rPr>
          <w:rFonts w:ascii="Times New Roman" w:hAnsi="Times New Roman" w:cs="Times New Roman"/>
          <w:color w:val="000000" w:themeColor="text1"/>
        </w:rPr>
      </w:pPr>
      <w:commentRangeStart w:id="1"/>
      <w:r w:rsidRPr="00B3074D">
        <w:rPr>
          <w:rFonts w:ascii="Times New Roman" w:hAnsi="Times New Roman" w:cs="Times New Roman"/>
          <w:color w:val="000000" w:themeColor="text1"/>
        </w:rPr>
        <w:t xml:space="preserve">Our results show that the examined herbicides have limited and short-lasting effects on soil edaphic properties and microbial function measured by extracellular enzyme analysis. Furthermore, weedy vegetation was shown to be a significant predictor of both enzymatic activities and nutrient concentrations, suggesting that the effects of herbicide application are instead mediated via indirect pathways. 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commentRangeEnd w:id="1"/>
      <w:r>
        <w:rPr>
          <w:rStyle w:val="CommentReference"/>
          <w:rFonts w:ascii="Times New Roman" w:eastAsia="Times New Roman" w:hAnsi="Times New Roman" w:cs="Times New Roman"/>
          <w:color w:val="000000"/>
          <w:lang w:eastAsia="de-DE"/>
        </w:rPr>
        <w:commentReference w:id="1"/>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2" w:name="_Toc71026833"/>
      <w:r w:rsidRPr="00B3074D">
        <w:lastRenderedPageBreak/>
        <w:t>Introduction</w:t>
      </w:r>
      <w:bookmarkEnd w:id="2"/>
      <w:r w:rsidRPr="00B3074D">
        <w:t xml:space="preserve"> </w:t>
      </w:r>
    </w:p>
    <w:p w14:paraId="7D9660FA" w14:textId="66CC233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Pr="00B3074D">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490FBC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[2,4–7]","plainTextFormattedCitation":"[2,4–7]","previouslyFormattedCitation":"[2,4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[5,15–18]","plainTextFormattedCitation":"[5,15–18]","previouslyFormattedCitation":"[5,15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061DF3BC"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 × 107copies μg−1DNA, on average for all amendments and sampling times) were more abundant than AOB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[16,21–24]","plainTextFormattedCitation":"[16,21–24]","previouslyFormattedCitation":"[16,21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6B0E2C9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3" w:name="_Toc71026834"/>
      <w:r w:rsidRPr="00B3074D">
        <w:t>Methods</w:t>
      </w:r>
      <w:bookmarkEnd w:id="3"/>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36B42DD0"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4"/>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4"/>
      <w:r w:rsidR="0075436A">
        <w:rPr>
          <w:rStyle w:val="CommentReference"/>
          <w:rFonts w:ascii="Times New Roman" w:eastAsia="Times New Roman" w:hAnsi="Times New Roman" w:cs="Times New Roman"/>
          <w:color w:val="000000"/>
          <w:lang w:eastAsia="de-DE"/>
        </w:rPr>
        <w:commentReference w:id="4"/>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769F70CA"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and processed within 24 hours. Soil samples were first thoroughly mixed in the Whirl-Pak bag used for collection, after which it was sieved though an ethanol-cleaned 2 mm sieve. Gravimetric moisture content was determined by weight difference of a five 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72F94E62"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8283ACD"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 0.5). Unexpectedly, biases with 515F-Y/806R against SAR11 in field samples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4–10- fold) were stronger than in mock communities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4878DA">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5"/>
      <w:r>
        <w:rPr>
          <w:rFonts w:ascii="Times New Roman" w:hAnsi="Times New Roman" w:cs="Times New Roman"/>
          <w:i/>
          <w:iCs/>
          <w:color w:val="000000" w:themeColor="text1"/>
        </w:rPr>
        <w:t>data</w:t>
      </w:r>
      <w:commentRangeEnd w:id="5"/>
      <w:r>
        <w:rPr>
          <w:rStyle w:val="CommentReference"/>
          <w:rFonts w:ascii="Times New Roman" w:eastAsia="Times New Roman" w:hAnsi="Times New Roman" w:cs="Times New Roman"/>
          <w:color w:val="000000"/>
          <w:lang w:eastAsia="de-DE"/>
        </w:rPr>
        <w:commentReference w:id="5"/>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0EED88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 This was only of concern for the edaphic measurements, as we used a single sample from each plot for our enzyme analysis.</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7C3D52">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7C3D52" w:rsidRPr="004878DA">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w:t>
      </w:r>
      <w:r w:rsidRPr="00B3074D">
        <w:rPr>
          <w:rFonts w:ascii="Times New Roman" w:hAnsi="Times New Roman" w:cs="Times New Roman"/>
          <w:color w:val="000000" w:themeColor="text1"/>
          <w:shd w:val="clear" w:color="auto" w:fill="FFFFFF"/>
        </w:rPr>
        <w:lastRenderedPageBreak/>
        <w:t xml:space="preserve">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153666D5" w14:textId="3456D50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33E6B">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[40,41]","plainTextFormattedCitation":"[40,41]","previouslyFormattedCitation":"[40,41]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[40,41]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6C7D3FA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33E6B">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33E6B" w:rsidRPr="00B33E6B">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10 and 20 days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7"/>
      <w:r w:rsidRPr="00B3074D">
        <w:rPr>
          <w:rFonts w:ascii="Times New Roman" w:hAnsi="Times New Roman" w:cs="Times New Roman"/>
          <w:color w:val="000000" w:themeColor="text1"/>
          <w:shd w:val="clear" w:color="auto" w:fill="FFFFFF"/>
        </w:rPr>
        <w:t xml:space="preserve">Table 2 </w:t>
      </w:r>
      <w:commentRangeEnd w:id="7"/>
      <w:r w:rsidR="0014353D">
        <w:rPr>
          <w:rStyle w:val="CommentReference"/>
          <w:rFonts w:ascii="Times New Roman" w:eastAsia="Times New Roman" w:hAnsi="Times New Roman" w:cs="Times New Roman"/>
          <w:color w:val="000000"/>
          <w:lang w:eastAsia="de-DE"/>
        </w:rPr>
        <w:commentReference w:id="7"/>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nitrate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(p  &lt;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20 day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(Figure 2). However, total weedy vegetation cover was a significant predictor of differences in enzymatic profiles at the 10 and 20 days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When the examining the effect of time within in a single weed removal treatment, significant differences in enzyme activities over the 20 day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Clarity, and nontreated plots showed no significant differences in individual enzyme activities or overall enzymatic profiles over time (p &gt; 0.05). Only the handweeded plots showed a significant difference in total enzymatic profile over the 20 day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These enzyme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40B0641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w:t>
      </w:r>
      <w:r w:rsidR="00CD39E7">
        <w:rPr>
          <w:rFonts w:ascii="Times New Roman" w:hAnsi="Times New Roman" w:cs="Times New Roman"/>
          <w:color w:val="000000" w:themeColor="text1"/>
          <w:shd w:val="clear" w:color="auto" w:fill="FFFFFF"/>
        </w:rPr>
        <w:lastRenderedPageBreak/>
        <w:t xml:space="preserve">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150</w:t>
      </w:r>
      <w:r w:rsidR="00CD39E7" w:rsidRPr="00B3074D">
        <w:rPr>
          <w:rFonts w:ascii="Times New Roman" w:hAnsi="Times New Roman" w:cs="Times New Roman"/>
          <w:color w:val="000000" w:themeColor="text1"/>
          <w:shd w:val="clear" w:color="auto" w:fill="FFFFFF"/>
        </w:rPr>
        <w:t xml:space="preserve"> </w:t>
      </w:r>
      <w:r w:rsidR="00CD39E7">
        <w:rPr>
          <w:rFonts w:ascii="Times New Roman" w:hAnsi="Times New Roman" w:cs="Times New Roman"/>
          <w:color w:val="000000" w:themeColor="text1"/>
          <w:shd w:val="clear" w:color="auto" w:fill="FFFFFF"/>
        </w:rPr>
        <w:t>&lt; 1.102</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B146B2">
        <w:rPr>
          <w:rFonts w:ascii="Times New Roman" w:hAnsi="Times New Roman" w:cs="Times New Roman"/>
          <w:color w:val="000000" w:themeColor="text1"/>
          <w:shd w:val="clear" w:color="auto" w:fill="FFFFFF"/>
        </w:rPr>
        <w:t>&lt;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02</w:t>
      </w:r>
      <w:r w:rsidR="00B146B2">
        <w:rPr>
          <w:rFonts w:ascii="Times New Roman" w:hAnsi="Times New Roman" w:cs="Times New Roman"/>
          <w:color w:val="000000" w:themeColor="text1"/>
          <w:shd w:val="clear" w:color="auto" w:fill="FFFFFF"/>
        </w:rPr>
        <w:t>65</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B146B2">
        <w:rPr>
          <w:rFonts w:ascii="Times New Roman" w:hAnsi="Times New Roman" w:cs="Times New Roman"/>
          <w:color w:val="000000" w:themeColor="text1"/>
          <w:shd w:val="clear" w:color="auto" w:fill="FFFFFF"/>
        </w:rPr>
        <w:t>1.152</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B146B2">
        <w:rPr>
          <w:rFonts w:ascii="Times New Roman" w:hAnsi="Times New Roman" w:cs="Times New Roman"/>
          <w:color w:val="000000" w:themeColor="text1"/>
          <w:shd w:val="clear" w:color="auto" w:fill="FFFFFF"/>
        </w:rPr>
        <w:t>0556)</w:t>
      </w:r>
      <w:r w:rsidR="00021CFF">
        <w:rPr>
          <w:rFonts w:ascii="Times New Roman" w:hAnsi="Times New Roman" w:cs="Times New Roman"/>
          <w:color w:val="000000" w:themeColor="text1"/>
          <w:shd w:val="clear" w:color="auto" w:fill="FFFFFF"/>
        </w:rPr>
        <w:t xml:space="preserve"> (Figure 2 </w:t>
      </w:r>
      <w:proofErr w:type="spellStart"/>
      <w:proofErr w:type="gramStart"/>
      <w:r w:rsidR="00021CFF">
        <w:rPr>
          <w:rFonts w:ascii="Times New Roman" w:hAnsi="Times New Roman" w:cs="Times New Roman"/>
          <w:color w:val="000000" w:themeColor="text1"/>
          <w:shd w:val="clear" w:color="auto" w:fill="FFFFFF"/>
        </w:rPr>
        <w:t>a,b</w:t>
      </w:r>
      <w:proofErr w:type="gramEnd"/>
      <w:r w:rsidR="00021CFF">
        <w:rPr>
          <w:rFonts w:ascii="Times New Roman" w:hAnsi="Times New Roman" w:cs="Times New Roman"/>
          <w:color w:val="000000" w:themeColor="text1"/>
          <w:shd w:val="clear" w:color="auto" w:fill="FFFFFF"/>
        </w:rPr>
        <w:t>,c</w:t>
      </w:r>
      <w:proofErr w:type="spellEnd"/>
      <w:r w:rsidR="00021CFF">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p &lt; 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1.106</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2.148</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023</w:t>
      </w:r>
      <w:r w:rsidR="00B146B2">
        <w:rPr>
          <w:rFonts w:ascii="Times New Roman" w:hAnsi="Times New Roman" w:cs="Times New Roman"/>
          <w:color w:val="000000" w:themeColor="text1"/>
          <w:shd w:val="clear" w:color="auto" w:fill="FFFFFF"/>
        </w:rPr>
        <w:t>).</w:t>
      </w:r>
      <w:r w:rsidR="006C539A">
        <w:rPr>
          <w:rFonts w:ascii="Times New Roman" w:hAnsi="Times New Roman" w:cs="Times New Roman"/>
          <w:color w:val="000000" w:themeColor="text1"/>
          <w:shd w:val="clear" w:color="auto" w:fill="FFFFFF"/>
        </w:rPr>
        <w:t xml:space="preserve"> </w:t>
      </w:r>
      <w:r w:rsidR="00021CFF" w:rsidRPr="002264A7">
        <w:rPr>
          <w:rFonts w:ascii="Times New Roman" w:hAnsi="Times New Roman" w:cs="Times New Roman"/>
          <w:color w:val="000000" w:themeColor="text1"/>
          <w:highlight w:val="yellow"/>
          <w:shd w:val="clear" w:color="auto" w:fill="FFFFFF"/>
        </w:rPr>
        <w:t>Average dissimilarity from control treatments revealed initial differences between</w:t>
      </w:r>
      <w:r w:rsidR="00021CFF">
        <w:rPr>
          <w:rFonts w:ascii="Times New Roman" w:hAnsi="Times New Roman" w:cs="Times New Roman"/>
          <w:color w:val="000000" w:themeColor="text1"/>
          <w:shd w:val="clear" w:color="auto" w:fill="FFFFFF"/>
        </w:rPr>
        <w:t xml:space="preserve"> </w:t>
      </w:r>
      <w:r w:rsidR="00923C61">
        <w:rPr>
          <w:rFonts w:ascii="Times New Roman" w:hAnsi="Times New Roman" w:cs="Times New Roman"/>
          <w:color w:val="000000" w:themeColor="text1"/>
          <w:shd w:val="clear" w:color="auto" w:fill="FFFFFF"/>
        </w:rPr>
        <w:t xml:space="preserve">Pairwise differences in community dissimilarity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 </w:t>
      </w:r>
      <w:r w:rsidR="00E311F4">
        <w:rPr>
          <w:rFonts w:ascii="Times New Roman" w:hAnsi="Times New Roman" w:cs="Times New Roman"/>
          <w:color w:val="000000" w:themeColor="text1"/>
          <w:shd w:val="clear" w:color="auto" w:fill="FFFFFF"/>
        </w:rPr>
        <w:t xml:space="preserve">Changes in the abundance of dominant families over time were detected in all treatment types, with </w:t>
      </w:r>
      <w:commentRangeStart w:id="8"/>
      <w:r w:rsidR="00021CFF">
        <w:rPr>
          <w:rFonts w:ascii="Times New Roman" w:hAnsi="Times New Roman" w:cs="Times New Roman"/>
          <w:color w:val="000000" w:themeColor="text1"/>
          <w:shd w:val="clear" w:color="auto" w:fill="FFFFFF"/>
        </w:rPr>
        <w:t>XXXX</w:t>
      </w:r>
      <w:commentRangeEnd w:id="8"/>
      <w:r w:rsidR="00021CFF">
        <w:rPr>
          <w:rStyle w:val="CommentReference"/>
          <w:rFonts w:ascii="Times New Roman" w:eastAsia="Times New Roman" w:hAnsi="Times New Roman" w:cs="Times New Roman"/>
          <w:color w:val="000000"/>
          <w:lang w:eastAsia="de-DE"/>
        </w:rPr>
        <w:commentReference w:id="8"/>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4BFB666E" w14:textId="77777777" w:rsidR="0053582D" w:rsidRPr="0053582D" w:rsidRDefault="0053582D" w:rsidP="0053582D">
      <w:pPr>
        <w:spacing w:line="480" w:lineRule="auto"/>
        <w:rPr>
          <w:rFonts w:ascii="Times New Roman" w:hAnsi="Times New Roman" w:cs="Times New Roman"/>
          <w:color w:val="000000" w:themeColor="text1"/>
          <w:shd w:val="clear" w:color="auto" w:fill="FFFFFF"/>
        </w:rPr>
      </w:pPr>
    </w:p>
    <w:p w14:paraId="326F2E46" w14:textId="65280B65" w:rsidR="0053582D" w:rsidRPr="00B3074D" w:rsidRDefault="0053582D" w:rsidP="0053582D">
      <w:pPr>
        <w:spacing w:line="480" w:lineRule="auto"/>
        <w:rPr>
          <w:rFonts w:ascii="Times New Roman" w:hAnsi="Times New Roman" w:cs="Times New Roman"/>
          <w:i/>
          <w:iCs/>
          <w:color w:val="000000" w:themeColor="text1"/>
          <w:shd w:val="clear" w:color="auto" w:fill="FFFFFF"/>
        </w:rPr>
      </w:pPr>
    </w:p>
    <w:p w14:paraId="1EB24B3A" w14:textId="507FE3FA" w:rsidR="00B3074D" w:rsidRPr="00B3074D" w:rsidRDefault="00B3074D" w:rsidP="00B3074D">
      <w:pPr>
        <w:pStyle w:val="headingdissertation"/>
        <w:spacing w:line="480" w:lineRule="auto"/>
      </w:pPr>
      <w:r w:rsidRPr="00B3074D">
        <w:br/>
      </w:r>
      <w:bookmarkStart w:id="9" w:name="_Toc71026836"/>
      <w:r w:rsidRPr="00B3074D">
        <w:t>Discussion</w:t>
      </w:r>
      <w:bookmarkEnd w:id="9"/>
    </w:p>
    <w:p w14:paraId="38FCACD7" w14:textId="06F7A21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the application of chemical herbicide and mechanical removal of weedy vegetation revealed few statistically significant differences among weed removal treatments over the twenty days post-treatment. Our results suggest that the soil environment in agroecosystems is both resistant and resilient to herbicide application.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w:t>
      </w:r>
      <w:r w:rsidRPr="00B3074D">
        <w:rPr>
          <w:rFonts w:ascii="Times New Roman" w:hAnsi="Times New Roman" w:cs="Times New Roman"/>
          <w:color w:val="000000" w:themeColor="text1"/>
          <w:shd w:val="clear" w:color="auto" w:fill="FFFFFF"/>
        </w:rPr>
        <w:lastRenderedPageBreak/>
        <w:t xml:space="preserve">in weedy vegetation. The latter of which found more support from the significance of total weedy vegetation as a predictor in our models and the observed correlations between vegetation cover and soil nutrient concentrations.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edaphic and functional shifts in agroecosystems. </w:t>
      </w:r>
    </w:p>
    <w:p w14:paraId="507F737E" w14:textId="2AE903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By splitting our dataset by weed removal treatment, we examined the effect of time since treatment on edaphic parameters and found changes in the concentrations of nutrients like ammonium, phosphate, nitrate, magnesium and calcium, though these changes were correlated with weedy vegetation cover. As a general trend, the concentrations of nutrients decreased as time progressed. However, phosphate proved to be an exception to this trend, increasing over the twenty days in all treatments except for the nontreated plots, which showed a stable concentration. With weedy vegetation being significantly correlated with many nutrient concentrations, it is likely that competition for nutrients among plants and microbes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However, as the trend of increased extractable phosphate was observed in all treatments except the nontreated plots, we suggest that the effects of herbicide treatment are indirectly mediated through increased litter inputs and shifts in decomposition.</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 xml:space="preserve">For example, roots and small aboveground structures would come into contact with the soil and begin to be broken down, each providing organic matter inputs. During initial stages of decomposition, soluble organic carbon can be carried by moisture pulses from irrigation into the soil profile and </w:t>
      </w:r>
      <w:r w:rsidRPr="00B3074D">
        <w:rPr>
          <w:rFonts w:ascii="Times New Roman" w:hAnsi="Times New Roman" w:cs="Times New Roman"/>
          <w:color w:val="000000" w:themeColor="text1"/>
          <w:shd w:val="clear" w:color="auto" w:fill="FFFFFF"/>
        </w:rPr>
        <w:lastRenderedPageBreak/>
        <w:t xml:space="preserve">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447E9C3D" w14:textId="360E69A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Given our results, we hypothesize that observed differences in nitrate and total inorganic N concentrations may be mediated indirectly through differences in total weedy vegetation cover among treatments occurring at sampling times two and three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[19,20,44]","plainTextFormattedCitation":"[19,20,44]","previouslyFormattedCitation":"[19,20,44]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In a previous study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 authors examined the effects of glyphosate on soil N. Their results also showed no difference in inorganic N between their treated vegetation plots (handweeded and Roundup treatments) over twenty weeks. They did however report significant differences between the handweeded plots and the nontreated plots. The authors showed nitrate levels, as measured by resin ion exchange strips, to be higher in their handweeded plots as compared to the nontreated. Our results showed nitrate levels to be lowest in our handweeded and nontreated plots, with concentrations being higher in our Roundup plots. While our results differ slightly form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change in vegetation over 20 days likely explains the discrepancy and accounts for the observed decrease in nitrate concentration. Other potential explanations include the fact that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disrupted the soil in their Roundup plots by hoeing to mimic the soil disturbance of the handweeded plots, and this physical disturbance may affect cycling of N. 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 Experimental designs like ours and the one implemented by </w:t>
      </w:r>
      <w:proofErr w:type="spellStart"/>
      <w:r w:rsidRPr="00B3074D">
        <w:rPr>
          <w:rFonts w:ascii="Times New Roman" w:hAnsi="Times New Roman" w:cs="Times New Roman"/>
          <w:color w:val="000000" w:themeColor="text1"/>
          <w:shd w:val="clear" w:color="auto" w:fill="FFFFFF"/>
        </w:rPr>
        <w:lastRenderedPageBreak/>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 treatment. </w:t>
      </w:r>
    </w:p>
    <w:p w14:paraId="483CA67A" w14:textId="2802BE5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In line with that, we showed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this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r w:rsidRPr="00B3074D">
        <w:rPr>
          <w:rFonts w:ascii="Times New Roman" w:hAnsi="Times New Roman" w:cs="Times New Roman"/>
        </w:rPr>
        <w:t xml:space="preserve">Other similar herbicides, 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Our sequence data may allow for further exploration of the mechanisms responsible for these shifts in N cycling. </w:t>
      </w:r>
    </w:p>
    <w:p w14:paraId="59CB79C0" w14:textId="2E8DF11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However, at the ten day post-treatment sampling, weed removal treatment did not affect enzymatic profiles, but total weedy vegetation was a significant predictor of enzymatic profile,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[19,20]","plainTextFormattedCitation":"[19,20]","previouslyFormattedCitation":"[19,20]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w:t>
      </w:r>
      <w:r w:rsidRPr="00B3074D">
        <w:rPr>
          <w:rFonts w:ascii="Times New Roman" w:hAnsi="Times New Roman" w:cs="Times New Roman"/>
          <w:color w:val="000000" w:themeColor="text1"/>
          <w:shd w:val="clear" w:color="auto" w:fill="FFFFFF"/>
        </w:rPr>
        <w:lastRenderedPageBreak/>
        <w:t xml:space="preserve">being reported for fungal communities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These results directly refute our hypothesis that each mode of action would result in a unique total enzymatic functional profile. </w:t>
      </w:r>
    </w:p>
    <w:p w14:paraId="6E0A9603" w14:textId="701A346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e.g. redroot pigweed cover, that was shown to be negatively correlated with phosphate concentration. </w:t>
      </w:r>
    </w:p>
    <w:p w14:paraId="2729D412" w14:textId="708C728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w:t>
      </w:r>
      <w:r w:rsidRPr="00B3074D">
        <w:rPr>
          <w:rFonts w:ascii="Times New Roman" w:hAnsi="Times New Roman" w:cs="Times New Roman"/>
          <w:color w:val="000000" w:themeColor="text1"/>
          <w:shd w:val="clear" w:color="auto" w:fill="FFFFFF"/>
        </w:rPr>
        <w:lastRenderedPageBreak/>
        <w:t xml:space="preserve">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However, given that we observed increased activity in several extracellular enzymes, both in the handweeded and Roundup (glyphosate) treated plots at 10 days post-application, we do not believe that a shift in competitive balance among litho- and heterotrophs as a result of herbicide application is responsible, but rather an increase in available above- and belowground plant detritus.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 </w:t>
      </w:r>
    </w:p>
    <w:p w14:paraId="0AB98E6F" w14:textId="510CD3D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w:t>
      </w:r>
      <w:r w:rsidRPr="00B3074D">
        <w:rPr>
          <w:rFonts w:ascii="Times New Roman" w:hAnsi="Times New Roman" w:cs="Times New Roman"/>
          <w:color w:val="000000" w:themeColor="text1"/>
          <w:shd w:val="clear" w:color="auto" w:fill="FFFFFF"/>
        </w:rPr>
        <w:lastRenderedPageBreak/>
        <w:t xml:space="preserve">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57897BF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[59,60]","plainTextFormattedCitation":"[59,60]","previouslyFormattedCitation":"[59,60]"},"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[59,60]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46FC0B4E" w14:textId="2208DB6A" w:rsidR="00AE3027"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ongoing work examining changes to the soil and </w:t>
      </w:r>
      <w:proofErr w:type="spellStart"/>
      <w:r w:rsidRPr="00B3074D">
        <w:rPr>
          <w:rFonts w:ascii="Times New Roman" w:hAnsi="Times New Roman" w:cs="Times New Roman"/>
          <w:color w:val="000000" w:themeColor="text1"/>
          <w:shd w:val="clear" w:color="auto" w:fill="FFFFFF"/>
        </w:rPr>
        <w:t>phyllosphere</w:t>
      </w:r>
      <w:proofErr w:type="spellEnd"/>
      <w:r w:rsidRPr="00B3074D">
        <w:rPr>
          <w:rFonts w:ascii="Times New Roman" w:hAnsi="Times New Roman" w:cs="Times New Roman"/>
          <w:color w:val="000000" w:themeColor="text1"/>
          <w:shd w:val="clear" w:color="auto" w:fill="FFFFFF"/>
        </w:rPr>
        <w:t xml:space="preserve"> microbiomes can be expected to produce more significant results. In general, </w:t>
      </w:r>
      <w:r w:rsidRPr="00B3074D">
        <w:rPr>
          <w:rFonts w:ascii="Times New Roman" w:hAnsi="Times New Roman" w:cs="Times New Roman"/>
        </w:rPr>
        <w:t xml:space="preserve">we hypothesize an increase in saprophytic microbes will follow treatment in the handweeded and herbicide treated plots. This increase would be due to senescence of root tissues and nutrient inputs from the herbicide itself providing </w:t>
      </w:r>
      <w:r w:rsidRPr="00B3074D">
        <w:rPr>
          <w:rFonts w:ascii="Times New Roman" w:hAnsi="Times New Roman" w:cs="Times New Roman"/>
        </w:rPr>
        <w:lastRenderedPageBreak/>
        <w:t xml:space="preserve">a pulse of labile organic matter. </w:t>
      </w:r>
      <w:r w:rsidRPr="00B3074D">
        <w:rPr>
          <w:rFonts w:ascii="Times New Roman" w:hAnsi="Times New Roman" w:cs="Times New Roman"/>
          <w:color w:val="000000" w:themeColor="text1"/>
          <w:shd w:val="clear" w:color="auto" w:fill="FFFFFF"/>
        </w:rPr>
        <w:t xml:space="preserve">As for changes specific to weed removal treatment, glyphosate based herbicides, like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affect aromatic amino acid synthesis through disruption of the Shikimate pathway, which is found in both plants and microorganisms, and thus can be expected to have both direct and indirect effects on microbial assemblages. Clarity (dicamba) treated plots are also expected to experience both direct and indirect effects of herbicide application as dicamba mimics auxin, a plant-microbe signaling molecule that also affects gene regulation in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10.1101/cshperspect.a001438","ISSN":"1943-0264","author":[{"dropping-particle":"","family":"Spaepen","given":"Stijn","non-dropping-particle":"","parse-names":false,"suffix":""},{"dropping-particle":"","family":"Vanderleyden","given":"Jos","non-dropping-particle":"","parse-names":false,"suffix":""}],"container-title":"Cold Spring Harbor Perspectives in Biology","id":"ITEM-1","issue":"4","issued":{"date-parts":[["2011","4","1"]]},"page":"a001438-a001438","title":"Auxin and Plant-Microbe Interactions","type":"article-journal","volume":"3"},"uris":["http://www.mendeley.com/documents/?uuid=889470b2-9ce5-4ef4-b61e-26beac4df834"]}],"mendeley":{"formattedCitation":"[61]","plainTextFormattedCitation":"[61]","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[61]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rPr>
        <w:t xml:space="preserve">We further hypothesize the atrazine and </w:t>
      </w:r>
      <w:proofErr w:type="spellStart"/>
      <w:r w:rsidRPr="00B3074D">
        <w:rPr>
          <w:rFonts w:ascii="Times New Roman" w:hAnsi="Times New Roman" w:cs="Times New Roman"/>
        </w:rPr>
        <w:t>mesotrione</w:t>
      </w:r>
      <w:proofErr w:type="spellEnd"/>
      <w:r w:rsidRPr="00B3074D">
        <w:rPr>
          <w:rFonts w:ascii="Times New Roman" w:hAnsi="Times New Roman" w:cs="Times New Roman"/>
        </w:rPr>
        <w:t xml:space="preserve"> tank mix will have effects on nitrogen cycling microbes, as other members of this family of herbicides 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r w:rsidRPr="00B3074D">
        <w:rPr>
          <w:rFonts w:ascii="Times New Roman" w:hAnsi="Times New Roman" w:cs="Times New Roman"/>
          <w:color w:val="000000" w:themeColor="text1"/>
          <w:shd w:val="clear" w:color="auto" w:fill="FFFFFF"/>
        </w:rPr>
        <w:t xml:space="preserve">Furthermore, it should be noted that recent research has shown prolonged herbicide application results in increased antibiotic resistance genes and mobile genetic elements in microbial populations. As such, even if no effects on enzymatic function or microbial taxonomic assemblages are detected, the effects of herbicide on human and livestock health may be dramatic, suggesting that we may need to revisit how we assess the safety of herbicides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-1","issue":"434","issued":{"date-parts":[["2021"]]},"title":"Herbicide selection promotes antibiotic resistance in soil microbiomes","type":"article-journal"},"uris":["http://www.mendeley.com/documents/?uuid=c3f4c0df-370e-4f87-a946-b55c9f623037"]}],"mendeley":{"formattedCitation":"[7]","plainTextFormattedCitation":"[7]","previouslyFormattedCitation":"[7]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0" w:name="_Toc71026837"/>
      <w:r w:rsidRPr="0037707D">
        <w:t>Tables</w:t>
      </w:r>
      <w:bookmarkEnd w:id="10"/>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1" w:name="OLE_LINK3"/>
            <w:bookmarkStart w:id="12" w:name="OLE_LINK4"/>
            <w:r w:rsidRPr="0037707D">
              <w:rPr>
                <w:color w:val="000000" w:themeColor="text1"/>
              </w:rPr>
              <w:t>atrazine and mesotrione tank mix</w:t>
            </w:r>
            <w:bookmarkEnd w:id="11"/>
            <w:bookmarkEnd w:id="12"/>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Nitrite..mg.g.dry.soil.</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0.51, (F 4,50 = 0.83 )</w:t>
            </w:r>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4,54 = 1.43 )</w:t>
            </w:r>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0.44, (F 4,54 = 0.96 )</w:t>
            </w:r>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4,50 = 1.42 )</w:t>
            </w:r>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 (F 4,54 = 1.1 )</w:t>
            </w:r>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0.63, (F 4,54 = 0.65 )</w:t>
            </w:r>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0.31, (F 4,54 = 1.23 )</w:t>
            </w:r>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0.61, (F 4,54 = 0.68 )</w:t>
            </w:r>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(0.123)</w:t>
            </w:r>
            <w:r w:rsidRPr="00463D3F">
              <w:rPr>
                <w:rFonts w:ascii="Times New Roman" w:hAnsi="Times New Roman" w:cs="Times New Roman"/>
                <w:b/>
                <w:bCs/>
                <w:color w:val="000000"/>
                <w:sz w:val="16"/>
                <w:szCs w:val="16"/>
                <w:vertAlign w:val="superscript"/>
              </w:rPr>
              <w:t>ab</w:t>
            </w:r>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(0.062)</w:t>
            </w:r>
            <w:r w:rsidRPr="00463D3F">
              <w:rPr>
                <w:rFonts w:ascii="Times New Roman" w:hAnsi="Times New Roman" w:cs="Times New Roman"/>
                <w:b/>
                <w:bCs/>
                <w:color w:val="000000"/>
                <w:sz w:val="16"/>
                <w:szCs w:val="16"/>
                <w:vertAlign w:val="superscript"/>
              </w:rPr>
              <w:t>a</w:t>
            </w:r>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(0.12)</w:t>
            </w:r>
            <w:r w:rsidRPr="00463D3F">
              <w:rPr>
                <w:rFonts w:ascii="Times New Roman" w:hAnsi="Times New Roman" w:cs="Times New Roman"/>
                <w:b/>
                <w:bCs/>
                <w:color w:val="000000"/>
                <w:sz w:val="16"/>
                <w:szCs w:val="16"/>
                <w:vertAlign w:val="superscript"/>
              </w:rPr>
              <w:t>ab</w:t>
            </w:r>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(0.11)</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(0.194)</w:t>
            </w:r>
            <w:r w:rsidRPr="00463D3F">
              <w:rPr>
                <w:rFonts w:ascii="Times New Roman" w:hAnsi="Times New Roman" w:cs="Times New Roman"/>
                <w:b/>
                <w:bCs/>
                <w:color w:val="000000"/>
                <w:sz w:val="16"/>
                <w:szCs w:val="16"/>
                <w:vertAlign w:val="superscript"/>
              </w:rPr>
              <w:t>b</w:t>
            </w:r>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2.68 )</w:t>
            </w:r>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 (F 4,53 = 1.16 )</w:t>
            </w:r>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2.76 )</w:t>
            </w:r>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 (F 4,53 = 1.51 )</w:t>
            </w:r>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1.45 )</w:t>
            </w:r>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0.27, (F 4,53 = 1.33 )</w:t>
            </w:r>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&lt;0.001, (F 4,53 = 5.46 )</w:t>
            </w:r>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(0.132)</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3.77 )</w:t>
            </w:r>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1.44 )</w:t>
            </w:r>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(0.133)</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3.72 )</w:t>
            </w:r>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0.8, (F 4,53 = 0.41 )</w:t>
            </w:r>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 (F 4,53 = 0.72 )</w:t>
            </w:r>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0.41, (F 4,53 = 1 )</w:t>
            </w:r>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0.77, (F 4,53 = 0.46 )</w:t>
            </w:r>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 = 5.76 )</w:t>
            </w:r>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1.81 )</w:t>
            </w:r>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2,31 = 5.74 )</w:t>
            </w:r>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0.3 )</w:t>
            </w:r>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(0.34)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(0.74)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4.7 )</w:t>
            </w:r>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4.23 )</w:t>
            </w:r>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(0.06)</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0.28, (F 2, 31 = 1.34 )</w:t>
            </w:r>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(0.27)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(0.07)</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(0.01)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7.21 )</w:t>
            </w:r>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(0.32)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(0.61)</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(0.57)</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 31 = 5.91 )</w:t>
            </w:r>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(0.15)</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(0.32)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7.48 )</w:t>
            </w:r>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 = 9.44 )</w:t>
            </w:r>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3.31 )</w:t>
            </w:r>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(0.172)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9.83 )</w:t>
            </w:r>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2,32 = 2.61 )</w:t>
            </w:r>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2,32 = 1.64 )</w:t>
            </w:r>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3.29 )</w:t>
            </w:r>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3.76 )</w:t>
            </w:r>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8.35 )</w:t>
            </w:r>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(0.107)</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3.83 )</w:t>
            </w:r>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6.06 )</w:t>
            </w:r>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(0.66)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5.84 )</w:t>
            </w:r>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(0.09)</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(0.33)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5.91 )</w:t>
            </w:r>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(0.02)</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1.65 )</w:t>
            </w:r>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2,31= 4.27 )</w:t>
            </w:r>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1.77 )</w:t>
            </w:r>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(0.552)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2,30 = 4.07 )</w:t>
            </w:r>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2,31 = 3.25 )</w:t>
            </w:r>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(0.76)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(0.66)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2,31 = 3.78 )</w:t>
            </w:r>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(0.11)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(0.36)</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(0.19)</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7.78 )</w:t>
            </w:r>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(0.03)</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0.73, (F 4,14 = 0.51 )</w:t>
            </w:r>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0.08, (F 4,14 = 2.64 )</w:t>
            </w:r>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1.45 )</w:t>
            </w:r>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2.14 )</w:t>
            </w:r>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0.29, (F 4,14 = 1.38 )</w:t>
            </w:r>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4,13 = 1.45 )</w:t>
            </w:r>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(14.05)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(23.25)</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(21.6)</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(21.4)</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4,14 = 3.99 )</w:t>
            </w:r>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0.72, (F 4,13 = 0.53 )</w:t>
            </w:r>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0.66, (F 4,14 = 0.62 )</w:t>
            </w:r>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N.P enz</w:t>
            </w:r>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(0.24)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(0.44)</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(0.22)</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(0.20)</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(0.25)</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(98.72)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(60.5)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(52.16)</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4,14 = 3.72 )</w:t>
            </w:r>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4,14 = 0.75 )</w:t>
            </w:r>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4,14 = 1.19 )</w:t>
            </w:r>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0.68, (F 4,14 = 0.59 )</w:t>
            </w:r>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4,14 = 0.74 )</w:t>
            </w:r>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4,14 = 2.38 )</w:t>
            </w:r>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(24.89)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(18.2)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(25.6)</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(29.0)</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(F 4,14 = 3.46 )</w:t>
            </w:r>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1.46 )</w:t>
            </w:r>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2.15 )</w:t>
            </w:r>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4,13 = 0.16 )</w:t>
            </w:r>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0.23 )</w:t>
            </w:r>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0.22 )</w:t>
            </w:r>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4,13 = 0.11 )</w:t>
            </w:r>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4,13 = 0.86 )</w:t>
            </w:r>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0.61, (F 4,12 = 0.7 )</w:t>
            </w:r>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4,13 = 0.23 )</w:t>
            </w:r>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4,12 = 0.11 )</w:t>
            </w:r>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0.87, (F 4,13 = 0.31 )</w:t>
            </w:r>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0.32, (F 2,8 = 1.33 )</w:t>
            </w:r>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2,8 = 0.6 )</w:t>
            </w:r>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0.53, (F 2,8 = 0.68 )</w:t>
            </w:r>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0.91 )</w:t>
            </w:r>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0.94 )</w:t>
            </w:r>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0.30, (F 2,8 = 1.39 )</w:t>
            </w:r>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0.95 )</w:t>
            </w:r>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0.81, (F 2,8 = 0.22 )</w:t>
            </w:r>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0.74 )</w:t>
            </w:r>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(23.65)</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(55.2)</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8.87 )</w:t>
            </w:r>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(1.62)</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(13.24)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(21.9)</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2,8 = 6.99 )</w:t>
            </w:r>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2,8 = 3.2 )</w:t>
            </w:r>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(2.53)</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(9.4)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(22.5)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5.55 )</w:t>
            </w:r>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(1.78)</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(7.36)</w:t>
            </w:r>
            <w:r w:rsidRPr="0037707D">
              <w:rPr>
                <w:rFonts w:ascii="Times New Roman" w:hAnsi="Times New Roman" w:cs="Times New Roman"/>
                <w:b/>
                <w:bCs/>
                <w:color w:val="000000"/>
                <w:sz w:val="18"/>
                <w:szCs w:val="18"/>
                <w:vertAlign w:val="superscript"/>
              </w:rPr>
              <w:t>ab</w:t>
            </w:r>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(11.58)</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5.79 )</w:t>
            </w:r>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 (F 2,8 = 0.77 )</w:t>
            </w:r>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(18.17)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(18.95)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8.95 )</w:t>
            </w:r>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C.N_enz</w:t>
            </w:r>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(0.24)</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(0.27)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(0.28)</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8.56 )</w:t>
            </w:r>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2.3 )</w:t>
            </w:r>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0.059, (F 2,8 = 4.11 )</w:t>
            </w:r>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Aatrex</w:t>
            </w:r>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0.35, (F 2,8 = 1.2 )</w:t>
            </w:r>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2,8 = 0.57 )</w:t>
            </w:r>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2,8 = 0.05 )</w:t>
            </w:r>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0.86, (F 2,8 = 0.16 )</w:t>
            </w:r>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2,8 = 0.1 )</w:t>
            </w:r>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0.94, (F 2,8 = 0.06 )</w:t>
            </w:r>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2,8 = 1.87 )</w:t>
            </w:r>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2.33 )</w:t>
            </w:r>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0.69, (F 2,8 = 0.37 )</w:t>
            </w:r>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2,8 = 0.28 )</w:t>
            </w:r>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0.47, (F 2,8 = 0.83 )</w:t>
            </w:r>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0.42, (F 2,8 = 0.97 )</w:t>
            </w:r>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2,8 = 0.74 )</w:t>
            </w:r>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0.60, (F 2,8 = 0.55 )</w:t>
            </w:r>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2,7 = 0.28 )</w:t>
            </w:r>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0.46, (F 2,7 = 0.88 )</w:t>
            </w:r>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2,7 = 3.42 )</w:t>
            </w:r>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2,7 = 0.96 )</w:t>
            </w:r>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0.50, (F 2,7 = 0.76 )</w:t>
            </w:r>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(F 2,7 = 4.15 )</w:t>
            </w:r>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(21.42)</w:t>
            </w:r>
            <w:r w:rsidRPr="0037707D">
              <w:rPr>
                <w:rFonts w:ascii="Times New Roman" w:hAnsi="Times New Roman" w:cs="Times New Roman"/>
                <w:b/>
                <w:bCs/>
                <w:color w:val="000000"/>
                <w:sz w:val="18"/>
                <w:szCs w:val="18"/>
                <w:vertAlign w:val="superscript"/>
              </w:rPr>
              <w:t>ab</w:t>
            </w:r>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(5.17)</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2,7 = 6.57 )</w:t>
            </w:r>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0.96, (F 2,7 = 0.04 )</w:t>
            </w:r>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0.85, (F 2,7 = 0.16 )</w:t>
            </w:r>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0.39, (F 2,7 = 1.06 )</w:t>
            </w:r>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481FEDFE" w14:textId="02E846E7" w:rsidR="002D2557" w:rsidRPr="0037707D"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Ordination of </w:t>
      </w:r>
      <w:r w:rsidR="00B57649">
        <w:rPr>
          <w:rFonts w:ascii="Times New Roman" w:hAnsi="Times New Roman" w:cs="Times New Roman"/>
          <w:color w:val="000000" w:themeColor="text1"/>
        </w:rPr>
        <w:t>rarefied count tables with 95% SE ellipses.</w:t>
      </w:r>
      <w:r>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 types </w:t>
      </w:r>
      <w:r w:rsidR="00B57649">
        <w:rPr>
          <w:rFonts w:ascii="Times New Roman" w:hAnsi="Times New Roman" w:cs="Times New Roman"/>
          <w:color w:val="000000" w:themeColor="text1"/>
        </w:rPr>
        <w:lastRenderedPageBreak/>
        <w:t>shows a homogenization of herbicide treated plots through time</w:t>
      </w:r>
      <w:r w:rsidR="001011C9">
        <w:rPr>
          <w:rFonts w:ascii="Times New Roman" w:hAnsi="Times New Roman" w:cs="Times New Roman"/>
          <w:color w:val="000000" w:themeColor="text1"/>
        </w:rPr>
        <w:t xml:space="preserve"> (column 2 and 3)</w:t>
      </w:r>
      <w:r w:rsidR="00B57649">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 all chemical treatments grouped, we observe a decrease in dissimilarity not observed in the handweeded or non-treated plots. </w:t>
      </w:r>
      <w:r w:rsidR="00B57649">
        <w:rPr>
          <w:rFonts w:ascii="Times New Roman" w:hAnsi="Times New Roman" w:cs="Times New Roman"/>
          <w:color w:val="000000" w:themeColor="text1"/>
        </w:rPr>
        <w:t xml:space="preserve"> </w:t>
      </w:r>
    </w:p>
    <w:p w14:paraId="46AF971E" w14:textId="3983512D" w:rsidR="00B3074D" w:rsidRPr="00B3074D" w:rsidRDefault="002D2557" w:rsidP="007144A5">
      <w:pPr>
        <w:pStyle w:val="headingdissertation"/>
      </w:pPr>
      <w:commentRangeStart w:id="13"/>
      <w:r>
        <w:rPr>
          <w:noProof/>
        </w:rPr>
        <w:drawing>
          <wp:inline distT="0" distB="0" distL="0" distR="0" wp14:anchorId="7DCE06FB" wp14:editId="1C84072C">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3"/>
      <w:r w:rsidR="00B57649">
        <w:rPr>
          <w:rStyle w:val="CommentReference"/>
          <w:rFonts w:eastAsia="Times New Roman"/>
          <w:b w:val="0"/>
          <w:bCs w:val="0"/>
          <w:color w:val="000000"/>
          <w:lang w:eastAsia="de-DE"/>
        </w:rPr>
        <w:commentReference w:id="13"/>
      </w:r>
    </w:p>
    <w:sectPr w:rsidR="00B3074D" w:rsidRPr="00B3074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rdon Fritz Custer" w:date="2021-05-07T11:32:00Z" w:initials="GFC">
    <w:p w14:paraId="44F95C84" w14:textId="74C3CEA9" w:rsidR="004878DA" w:rsidRDefault="004878DA">
      <w:pPr>
        <w:pStyle w:val="CommentText"/>
      </w:pPr>
      <w:r>
        <w:rPr>
          <w:rStyle w:val="CommentReference"/>
        </w:rPr>
        <w:annotationRef/>
      </w:r>
      <w:r>
        <w:t xml:space="preserve">From dissertation. This was written with only functional changes. For now, I’ll leave this here. However, this will certainly change to reflect what we find. </w:t>
      </w:r>
    </w:p>
  </w:comment>
  <w:comment w:id="4"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5"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Gordon Fritz Custer" w:date="2021-05-07T13:33:00Z" w:initials="GFC">
    <w:p w14:paraId="62FE5907" w14:textId="3A7CFC07" w:rsidR="0014353D" w:rsidRDefault="0014353D">
      <w:pPr>
        <w:pStyle w:val="CommentText"/>
      </w:pPr>
      <w:r>
        <w:rPr>
          <w:rStyle w:val="CommentReference"/>
        </w:rPr>
        <w:annotationRef/>
      </w:r>
      <w:r>
        <w:t xml:space="preserve">Tables have mean and SD. Supplementary tables have model outputs including F stats df etc. </w:t>
      </w:r>
    </w:p>
  </w:comment>
  <w:comment w:id="8" w:author="Gordon Fritz Custer" w:date="2022-01-18T14:23:00Z" w:initials="GFC">
    <w:p w14:paraId="4CA2B55F" w14:textId="1460A5FA" w:rsidR="00021CFF" w:rsidRDefault="00021CFF">
      <w:pPr>
        <w:pStyle w:val="CommentText"/>
      </w:pPr>
      <w:r>
        <w:rPr>
          <w:rStyle w:val="CommentReference"/>
        </w:rPr>
        <w:annotationRef/>
      </w:r>
      <w:r>
        <w:t xml:space="preserve">Need to think about the best way to display this. </w:t>
      </w:r>
    </w:p>
  </w:comment>
  <w:comment w:id="13"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5C84" w15:done="0"/>
  <w15:commentEx w15:paraId="494B6FD2" w15:done="0"/>
  <w15:commentEx w15:paraId="0DD8BF1D" w15:done="0"/>
  <w15:commentEx w15:paraId="62FE5907" w15:done="0"/>
  <w15:commentEx w15:paraId="4CA2B55F"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8790" w16cex:dateUtc="2021-05-07T15:32:00Z"/>
  <w16cex:commentExtensible w16cex:durableId="243F9AD2" w16cex:dateUtc="2021-05-07T16:54:00Z"/>
  <w16cex:commentExtensible w16cex:durableId="243F9FE1" w16cex:dateUtc="2021-05-07T17:15:00Z"/>
  <w16cex:commentExtensible w16cex:durableId="243FA424" w16cex:dateUtc="2021-05-07T17:33:00Z"/>
  <w16cex:commentExtensible w16cex:durableId="25914BD0" w16cex:dateUtc="2022-01-18T19:23: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5C84" w16cid:durableId="243F8790"/>
  <w16cid:commentId w16cid:paraId="494B6FD2" w16cid:durableId="243F9AD2"/>
  <w16cid:commentId w16cid:paraId="0DD8BF1D" w16cid:durableId="243F9FE1"/>
  <w16cid:commentId w16cid:paraId="62FE5907" w16cid:durableId="243FA424"/>
  <w16cid:commentId w16cid:paraId="4CA2B55F" w16cid:durableId="25914BD0"/>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D1C5E"/>
    <w:rsid w:val="004878DA"/>
    <w:rsid w:val="0053582D"/>
    <w:rsid w:val="005D2CC4"/>
    <w:rsid w:val="006133E2"/>
    <w:rsid w:val="006C539A"/>
    <w:rsid w:val="006F4CAD"/>
    <w:rsid w:val="007144A5"/>
    <w:rsid w:val="0075436A"/>
    <w:rsid w:val="007C3D52"/>
    <w:rsid w:val="0089710C"/>
    <w:rsid w:val="00923C61"/>
    <w:rsid w:val="00957991"/>
    <w:rsid w:val="009A38F8"/>
    <w:rsid w:val="009F391E"/>
    <w:rsid w:val="00A71ACB"/>
    <w:rsid w:val="00AE3027"/>
    <w:rsid w:val="00B146B2"/>
    <w:rsid w:val="00B3074D"/>
    <w:rsid w:val="00B33E6B"/>
    <w:rsid w:val="00B57649"/>
    <w:rsid w:val="00CD39E7"/>
    <w:rsid w:val="00CF4814"/>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35</Pages>
  <Words>38303</Words>
  <Characters>218332</Characters>
  <Application>Microsoft Office Word</Application>
  <DocSecurity>0</DocSecurity>
  <Lines>1819</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13</cp:revision>
  <dcterms:created xsi:type="dcterms:W3CDTF">2021-05-07T15:26:00Z</dcterms:created>
  <dcterms:modified xsi:type="dcterms:W3CDTF">2022-01-19T19:04:00Z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http://www.zotero.org/styles/journal-of-molecular-biology</vt:lpwstr>
  </property>
  <property fmtid="{D5CDD505-2E9C-101B-9397-08002B2CF9AE}" pid="24" name="Mendeley Unique User Id_1">
    <vt:lpwstr>a4472389-ee2a-3f03-85b6-d53f071f83d4</vt:lpwstr>
  </property>
</Properties>
</file>