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agro-ecosystems is of the utmost concern. In this study, we compare three chemical herbicides, Roundup (glyphosate), Clarity (dicamba), and a tank mix of Aatrex and Calisto (atrazine and mesotrione)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phyllosphere diversity and</w:t>
      </w:r>
      <w:r w:rsidRPr="00B3074D">
        <w:rPr>
          <w:rFonts w:ascii="Times New Roman" w:hAnsi="Times New Roman" w:cs="Times New Roman"/>
          <w:color w:val="000000" w:themeColor="text1"/>
        </w:rPr>
        <w:t xml:space="preserve"> function over twenty days post-treatment in </w:t>
      </w:r>
      <w:r w:rsidRPr="00B3074D">
        <w:rPr>
          <w:rFonts w:ascii="Times New Roman" w:hAnsi="Times New Roman" w:cs="Times New Roman"/>
          <w:i/>
          <w:iCs/>
          <w:color w:val="000000" w:themeColor="text1"/>
        </w:rPr>
        <w:t>Zea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agro-ecosystems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bookmarkStart w:id="3" w:name="_GoBack"/>
      <w:bookmarkEnd w:id="3"/>
    </w:p>
    <w:p w14:paraId="7D9660FA"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 xml:space="preserve">N-(phosphonomethyl)glycine),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[9,99]","plainTextFormattedCitation":"[9,99]","previouslyFormattedCitation":"[9,99]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[9,99]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77777777"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soil microbial community structure and function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[9,12,13,100,101]","plainTextFormattedCitation":"[9,12,13,100,101]","previouslyFormattedCitation":"[9,12,13,100,101]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[9,12,13,100,101]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[102]","plainTextFormattedCitation":"[102]","previouslyFormattedCitation":"[102]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e14","title":"Microbial Interkingdom Interactions in Roots Promote Arabidopsis Survival","type":"article-journal","volume":"175"},"uris":["http://www.mendeley.com/documents/?uuid=1d3e8aa5-e2e0-49b3-a9f9-99ad59edc54b"]}],"mendeley":{"formattedCitation":"[103]","plainTextFormattedCitation":"[103]","previouslyFormattedCitation":"[103]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Microbiology","id":"ITEM-4","issue":"JUL","issued":{"date-parts":[["2018"]]},"page":"1-7","title":"Microbial group dynamics in plant rhizospheres and their implications on nutrient cycling","type":"article-journal","volume":"9"},"uris":["http://www.mendeley.com/documents/?uuid=463be0c0-646b-40c5-8ea3-6d02af4cbd0a"]}],"mendeley":{"formattedCitation":"[104–107]","plainTextFormattedCitation":"[104–107]","previouslyFormattedCitation":"[104–107]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[104–107]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aggregate formation and maintenance of soil structure, contributing an estimated $330 to $500 per ha/yr in ecosystem services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[108]","plainTextFormattedCitation":"[108]","previouslyFormattedCitation":"[108]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soil microbes has been demonstrated in reviews of the topic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[10–12,109,110]","plainTextFormattedCitation":"[10–12,109,110]","previouslyFormattedCitation":"[10–12,109,110]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[10–12,109,110]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underscored by the fact that herbicides are a very broad group of chemicals, and their effects on soil microbes may differ depending on soil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[12]","plainTextFormattedCitation":"[12]","previouslyFormattedCitation":"[12]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[12]","plainTextFormattedCitation":"[12]","previouslyFormattedCitation":"[12]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w:t>
      </w:r>
      <w:r w:rsidRPr="00B3074D">
        <w:rPr>
          <w:rFonts w:ascii="Times New Roman" w:hAnsi="Times New Roman" w:cs="Times New Roman"/>
          <w:color w:val="000000" w:themeColor="text1"/>
        </w:rPr>
        <w:lastRenderedPageBreak/>
        <w:t xml:space="preserve">potential to indirectly affect the soil microbiome through changes to vegetation and subsequent root exudation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[111]","plainTextFormattedCitation":"[111]","previouslyFormattedCitation":"[111]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39ED13B4"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[100]","plainTextFormattedCitation":"[100]","previouslyFormattedCitation":"[100]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[100]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[11]","plainTextFormattedCitation":"[11]","previouslyFormattedCitation":"[11]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1 × 107copies μg−1DNA, on average for all amendments and sampling times) were more abundant than AOB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[11,14,15,17,112]","plainTextFormattedCitation":"[11,14,15,17,112]","previouslyFormattedCitation":"[11,14,15,17,112]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[11,14,15,17,112]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review","type":"article-journal","volume":"44"},"uris":["http://www.mendeley.com/documents/?uuid=912753b6-4e3e-4c96-a9fa-4a7092330579"]}],"mendeley":{"formattedCitation":"[11]","manualFormatting":" ","plainTextFormattedCitation":"[11]","previouslyFormattedCitation":"[11]"},"properties":{"noteIndex":0},"schema":"https://github.com/citation-style-language/schema/raw/master/csl-citation.json"}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719B31C"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affects microbial function and diversity in Wyoming, we compared the effects of three different herbicides along with handweeded and nontreated controls on the structure and function of the soil microbiome in </w:t>
      </w:r>
      <w:r w:rsidRPr="00B3074D">
        <w:rPr>
          <w:rFonts w:ascii="Times New Roman" w:hAnsi="Times New Roman" w:cs="Times New Roman"/>
          <w:i/>
          <w:iCs/>
          <w:color w:val="000000" w:themeColor="text1"/>
        </w:rPr>
        <w:t xml:space="preserve">Zea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Specifically, </w:t>
      </w:r>
      <w:r w:rsidRPr="00B3074D">
        <w:rPr>
          <w:rFonts w:ascii="Times New Roman" w:hAnsi="Times New Roman" w:cs="Times New Roman"/>
        </w:rPr>
        <w:t xml:space="preserve">we hypothesized the Aatrex and Calisto tank mix would have effects on nitrogen cycling microbes, as other members of this family of herbicides have been demonstrated to do so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[113]","plainTextFormattedCitation":"[113]","previouslyFormattedCitation":"[113]"},"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[113]</w:t>
      </w:r>
      <w:r w:rsidRPr="00B3074D">
        <w:rPr>
          <w:rFonts w:ascii="Times New Roman" w:hAnsi="Times New Roman" w:cs="Times New Roman"/>
        </w:rPr>
        <w:fldChar w:fldCharType="end"/>
      </w:r>
      <w:r w:rsidRPr="00B3074D">
        <w:rPr>
          <w:rFonts w:ascii="Times New Roman" w:hAnsi="Times New Roman" w:cs="Times New Roman"/>
        </w:rPr>
        <w:t xml:space="preserve">, and may affect enzymatic activates as it contains organic N in the chemical structure of the herbicide. Roundup Powermax and Clarity are also likely to </w:t>
      </w:r>
      <w:r w:rsidRPr="00B3074D">
        <w:rPr>
          <w:rFonts w:ascii="Times New Roman" w:hAnsi="Times New Roman" w:cs="Times New Roman"/>
        </w:rPr>
        <w:lastRenderedPageBreak/>
        <w:t xml:space="preserve">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[114]","plainTextFormattedCitation":"[114]","previouslyFormattedCitation":"[114]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64690895" w14:textId="77777777" w:rsidR="00B3074D" w:rsidRPr="00B3074D" w:rsidRDefault="00B3074D" w:rsidP="00B3074D">
      <w:pPr>
        <w:pStyle w:val="headingdissertation"/>
        <w:spacing w:line="480" w:lineRule="auto"/>
      </w:pPr>
      <w:bookmarkStart w:id="4" w:name="_Toc71026834"/>
      <w:r w:rsidRPr="00B3074D">
        <w:t>Methods</w:t>
      </w:r>
      <w:bookmarkEnd w:id="4"/>
      <w:r w:rsidRPr="00B3074D">
        <w:t xml:space="preserve"> </w:t>
      </w:r>
    </w:p>
    <w:p w14:paraId="2C7B337E" w14:textId="77777777" w:rsidR="00B3074D" w:rsidRPr="00B3074D" w:rsidRDefault="00B3074D" w:rsidP="00B3074D">
      <w:pPr>
        <w:pStyle w:val="headingdissertation"/>
        <w:spacing w:line="480" w:lineRule="auto"/>
      </w:pP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77777777"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In the summer of 2018, 20 experimental plots at the Sustainable Agriculture Research and Extension Center (SAREC) in Lingle,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{"citationItems":[{"id":"ITEM-1","itemData":{"DOI":"10.1007/s40093-019-00309-4","ISBN":"0123456789","ISSN":"22517715","abstract":"Purpose: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[115]","plainTextFormattedCitation":"[115]","previouslyFormattedCitation":"[115]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Haverson and McCook loam (i.e. HnA),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The experimental design included five different treatments with four replicate plots each, a control (nontreated), </w:t>
      </w:r>
      <w:r w:rsidRPr="00B3074D">
        <w:rPr>
          <w:rFonts w:ascii="Times New Roman" w:hAnsi="Times New Roman" w:cs="Times New Roman"/>
          <w:color w:val="000000" w:themeColor="text1"/>
          <w:shd w:val="clear" w:color="auto" w:fill="FFFFFF"/>
        </w:rPr>
        <w:lastRenderedPageBreak/>
        <w:t>handweeded plots, and three different herbicide applications. The three herbicides used in the study were Roundup PowerMax (glyphosate, group 9), Aatrex and Callisto (atrazine and mesotrione tank mix, group 5 and 27 respectively, herein referred to as Aatrex), and Clarity (dicamba, group 4). Herbicides were applied at the following recommended field rates: Roundup PowerMax 2338.5 mL/Ha, Aatrex 1169.25 mL/Ha, Callisto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To facilitate sampling, a grid was laid out over each plot and coordinates of sample location were determined using a random number generator. The corn plant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Daubenmire plot was placed so that plant was in the center. Cover classes of the main weeds including, redroot pigweed (</w:t>
      </w:r>
      <w:r w:rsidRPr="00B3074D">
        <w:rPr>
          <w:rFonts w:ascii="Times New Roman" w:hAnsi="Times New Roman" w:cs="Times New Roman"/>
          <w:i/>
          <w:iCs/>
          <w:color w:val="000000" w:themeColor="text1"/>
          <w:shd w:val="clear" w:color="auto" w:fill="FFFFFF"/>
        </w:rPr>
        <w:t>Amaranthus retroflexus</w:t>
      </w:r>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xml:space="preserve">), and any graminoid, were recorded for each Daubenmire plot. Total weedy vegetation cover was estimated by summing the various cover classes. </w:t>
      </w:r>
    </w:p>
    <w:p w14:paraId="436464BC"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t>Per treatment plot, 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Soil samples were collected using </w:t>
      </w:r>
      <w:r w:rsidRPr="00B3074D">
        <w:rPr>
          <w:rFonts w:ascii="Times New Roman" w:hAnsi="Times New Roman" w:cs="Times New Roman"/>
          <w:color w:val="000000" w:themeColor="text1"/>
          <w:shd w:val="clear" w:color="auto" w:fill="FFFFFF"/>
        </w:rPr>
        <w:lastRenderedPageBreak/>
        <w:t xml:space="preserve">flame sterilized soil corer to a depth of 5 cm and stored on ice in sterile Whirl-Pak bags. Using the corn plant in the center of the Daubenmire, a 3 cm x 3 cm sample from three individual leaves of the same corn plant were composited in a sterile Whirl-Pak containing sterile silica beads used as a desiccant.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77777777"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and processed within 24 hours. Leaf clippings were stored in Whirl-Pak bags on silica beads at – 80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until processed.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Dionex Integrion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Fisherbrand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[116]","plainTextFormattedCitation":"[116]","previouslyFormattedCitation":"[116]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[116]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r w:rsidRPr="00B3074D">
        <w:rPr>
          <w:rFonts w:ascii="Times New Roman" w:hAnsi="Times New Roman" w:cs="Times New Roman"/>
          <w:color w:val="000000" w:themeColor="text1"/>
        </w:rPr>
        <w:t>Dionex IonPac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Cations were ran on a D</w:t>
      </w:r>
      <w:r w:rsidRPr="00B3074D">
        <w:rPr>
          <w:rFonts w:ascii="Times New Roman" w:hAnsi="Times New Roman" w:cs="Times New Roman"/>
          <w:color w:val="000000" w:themeColor="text1"/>
        </w:rPr>
        <w:t>ionex IonPac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for microbial analysis (DNA extraction for determination of microbial </w:t>
      </w:r>
      <w:r w:rsidRPr="00B3074D">
        <w:rPr>
          <w:rFonts w:ascii="Times New Roman" w:hAnsi="Times New Roman" w:cs="Times New Roman"/>
          <w:color w:val="000000" w:themeColor="text1"/>
          <w:shd w:val="clear" w:color="auto" w:fill="FFFFFF"/>
        </w:rPr>
        <w:lastRenderedPageBreak/>
        <w:t xml:space="preserve">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(w:v).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[117–121]","plainTextFormattedCitation":"[117–121]","previouslyFormattedCitation":"[117–121]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[117–121]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The enzymes measured include ß-glucosidase (BG), β-xylosidase (BX), α-glucosidase (AG), cellobiohydrolase (CBH), alkaline phosphatase (PHOS), N-acetyl-ß-glucosaminidase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[122]","plainTextFormattedCitation":"[122]","previouslyFormattedCitation":"[122]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[122]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(BioTek</w:t>
      </w:r>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w:t>
      </w:r>
      <w:r w:rsidRPr="00B3074D">
        <w:rPr>
          <w:rFonts w:ascii="Times New Roman" w:hAnsi="Times New Roman" w:cs="Times New Roman"/>
          <w:color w:val="000000" w:themeColor="text1"/>
        </w:rPr>
        <w:lastRenderedPageBreak/>
        <w:t xml:space="preserve">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DeForest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[120]","plainTextFormattedCitation":"[120]","previouslyFormattedCitation":"[120]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Soil and phyllosphere microbiome analysis</w:t>
      </w:r>
      <w:r w:rsidRPr="00B3074D">
        <w:rPr>
          <w:rFonts w:ascii="Times New Roman" w:hAnsi="Times New Roman" w:cs="Times New Roman"/>
          <w:color w:val="000000" w:themeColor="text1"/>
          <w:shd w:val="clear" w:color="auto" w:fill="FFFFFF"/>
        </w:rPr>
        <w:t xml:space="preserve"> </w:t>
      </w:r>
    </w:p>
    <w:p w14:paraId="75CD85E7"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Methods similar to those detailed in chapter two will be utilized to analyze the structure and composition of the soil and phyllosphere microbiomes. Briefly, clippings of </w:t>
      </w:r>
      <w:r w:rsidRPr="00B3074D">
        <w:rPr>
          <w:rFonts w:ascii="Times New Roman" w:hAnsi="Times New Roman" w:cs="Times New Roman"/>
          <w:i/>
          <w:iCs/>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leaves taken at each sampling time point will be extracted using PowerPlant extraction kits (MO BIO, Carlsbad, CA). DNA extracts will be used for assessment of the endo- and epiphytic phyllosphere microbiome. Subsamples of the same soils used for edaphic measurements were extracted using PowerSoil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 xml:space="preserve">) and will be used for studying soil bacteria and fungi of the top 5 cm. </w:t>
      </w:r>
    </w:p>
    <w:p w14:paraId="6896EF58"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lastRenderedPageBreak/>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 xml:space="preserve"> 0.5). Unexpectedly, biases with 515F-Y/806R against SAR11 in field samples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4–10- fold) were stronger than in mock communities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Pr="00B3074D">
        <w:rPr>
          <w:rFonts w:ascii="Cambria Math" w:hAnsi="Cambria Math" w:cs="Cambria Math"/>
          <w:color w:val="000000" w:themeColor="text1"/>
        </w:rPr>
        <w:instrText>∼</w:instrText>
      </w:r>
      <w:r w:rsidRPr="00B3074D">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[72]","plainTextFormattedCitation":"[72]","previouslyFormattedCitation":"[72]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[72]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[73]","plainTextFormattedCitation":"[73]","previouslyFormattedCitation":"[73]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[73]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[123]","plainTextFormattedCitation":"[123]","previouslyFormattedCitation":"[123]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[123]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[75]","plainTextFormattedCitation":"[75]","previouslyFormattedCitation":"[75]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[75]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HotStart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Illumnia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Axygen’s AxyPrep Mag PCR Clean-up Kit according to manufacturer instructions without addition of TE buffer (Axygen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FlowCell mastermix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FlowCell primers, and 0.75 </w:t>
      </w:r>
      <w:r w:rsidRPr="00B3074D">
        <w:rPr>
          <w:rFonts w:ascii="Times New Roman" w:hAnsi="Times New Roman" w:cs="Times New Roman"/>
          <w:color w:val="000000" w:themeColor="text1"/>
        </w:rPr>
        <w:lastRenderedPageBreak/>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MagBead protocol and the Axygen’s AxyPrep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Psomagen genomic sequencing and analysis facility (Rockville, MD) on their NovaSeq6000 using paired end 2 x 250 bp chemistry with a 10% PhiX spike in. Both the fungal and bacterial libraries we sequenced together on a single lane and will be separated bioinformatically. </w:t>
      </w: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While soil samples collected from within the same treatment plot could be considered pseudoreplication and would violate the assumption of independent observations, we argue that pseudoreplication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 This was only of concern for the edaphic measurements, as we used a single sample from each plot for our enzyme analysis.</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rPr>
        <w:t xml:space="preserve">All statistical analyses were carried out in R V3.5.2-Eggshell Igloo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[44]</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t>
      </w:r>
      <w:r w:rsidRPr="00B3074D">
        <w:rPr>
          <w:rFonts w:ascii="Times New Roman" w:hAnsi="Times New Roman" w:cs="Times New Roman"/>
          <w:color w:val="000000" w:themeColor="text1"/>
          <w:shd w:val="clear" w:color="auto" w:fill="FFFFFF"/>
        </w:rPr>
        <w:lastRenderedPageBreak/>
        <w:t xml:space="preserve">was subset into either: 1) individual time points containing all five weed removal treatment types or 2) individual weed removal treatments that contained all three time points. In both cases, ANCOVA was used for our statistical analyses. Assumptions of ANCOVA, including normality of residuals and equal variance, were met prior to using this framework.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the effect of 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dataset was again split by time point and weed removal treatment type with the same comparison methods applied as was done for the edaphic parameters. In addition, using a conservative mixed modeling approach, we examined the effect of time, weed removal treatment, and total weedy vegetation on enzyme activity simultaneously using linear mixed models with fixed effects of weed removal treatment, pre-treatment enzyme activity (to account for initial differences), total weedy vegetation, and a time*weed removal treatment interaction, with a random effect of sampling time to account for temporal non-independence (Y ~ pre-treatment enzyme activity + treatment + time  + total weedy vegetation + treatment*time + (1|time), data = all data points from time two and three). </w:t>
      </w:r>
    </w:p>
    <w:p w14:paraId="153666D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 xml:space="preserve">For multivariate responses to weed removal treatment or time since treatment, PerMANOVA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ONE","editor":[{"dropping-particle":"","family":"Watson","given":"Michael","non-dropping-particle":"","parse-names":false,"suffix":""}],"id":"ITEM-2","issue":"4","issued":{"date-parts":[["2013","4","22"]]},"page":"e61217","title":"phyloseq: An R Package for Reproducible Interactive Analysis and Graphics of Microbiome Census Data","type":"article-journal","volume":"8"},"uris":["http://www.mendeley.com/documents/?uuid=ba7d854a-96bf-4a89-86e5-6aec787dd1eb"]}],"mendeley":{"formattedCitation":"[81,124]","plainTextFormattedCitation":"[81,124]","previouslyFormattedCitation":"[81,124]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[81,124]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Microbiome analyses</w:t>
      </w:r>
    </w:p>
    <w:p w14:paraId="64AE6249"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Both multivariate (PerMANOVA) and univariate (indicator species analysis and linear models of alpha diversity) will be used to assess the effects weed removal treatment has on the soil and phyllosphere microbiome. </w:t>
      </w:r>
    </w:p>
    <w:p w14:paraId="10FD85C8"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5" w:name="_Toc71026835"/>
      <w:r w:rsidRPr="00B3074D">
        <w:t>Results</w:t>
      </w:r>
      <w:bookmarkEnd w:id="5"/>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w:t>
      </w:r>
      <w:r w:rsidRPr="00B3074D">
        <w:rPr>
          <w:rFonts w:ascii="Times New Roman" w:hAnsi="Times New Roman" w:cs="Times New Roman"/>
          <w:color w:val="000000" w:themeColor="text1"/>
          <w:shd w:val="clear" w:color="auto" w:fill="FFFFFF"/>
        </w:rPr>
        <w:lastRenderedPageBreak/>
        <w:t xml:space="preserve">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Examination of edaphic parameters within in a single time point revealed no significant differences pre-treatment (time one) among the weed removal treatments when the effect of total weedy vegetation was accounted for (Table 2 and Supplementary Tables 1a and 1b). At 10 days (time two) and 20 days (time three) post-treatment, nitrate and total inorganic nitrogen (N) concentration were significantly different (p &lt; 0.05) (Figure 1, Table 2), with weed removal treatment being a significant predictor at both time points but total weedy vegetation being significant only for sampling time two. Plots treated with RoundUp Powermax had higher levels of nitrate and total inorganic N than the handweeded plots at timepoint two and three (p &lt; 0.05). At time three, Roundup treated plots also had significantly higher nitrate concentrations as compared to the nontreated and Aatrex treated plots (p &lt; 0.05). We observed the same trend at sampling time two, but the differences were only marginally significant (p  &lt; 0.09). The handweeded plots had lower moisture content as compared to the Aatrex and Clarity plots at time two (p &lt; 0.01), but not at time three. No significant differences in pH, EC, or other nutrients were detected at 10 or 20 days post-treatment. </w:t>
      </w:r>
    </w:p>
    <w:p w14:paraId="180F5A1F"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When examining how our soil variables changed over time within a single weed removal treatment while controlling for total weedy vegetation, multiple differences were observed. Significant models include nitrate, nitrite, ammonium, total inorganic N, phosphate, calcium, </w:t>
      </w:r>
      <w:r w:rsidRPr="00B3074D">
        <w:rPr>
          <w:rFonts w:ascii="Times New Roman" w:hAnsi="Times New Roman" w:cs="Times New Roman"/>
          <w:color w:val="000000" w:themeColor="text1"/>
          <w:shd w:val="clear" w:color="auto" w:fill="FFFFFF"/>
        </w:rPr>
        <w:lastRenderedPageBreak/>
        <w:t xml:space="preserve">magnesium, pH, EC, and gravimetric moisture content (p &lt; 0.05) (Table 3 and Supplementary Tables 2a and 2b). Pairwise contrasts showed time one to have the highest levels of nitrate and total inorganic N across all treatments (p &lt; 0.05) (Figure 1). This was also true for the concentration of magnesium and calcium, with a trend of decreasing concentration over the 20 day sampling period. Total weedy vegetation was only a significant predictor of nitrate concentration in the handweeded plots.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7777777"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t>Our models showed the response of extracellular enzyme activity to weed removal treatment to be limited as well as enzyme and sampling time specific. There were no significant differences in total enzymatic profiles among herbicide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(Figure 2). However, total weedy vegetation cover was a significant predictor of differences in enzymatic profiles at the 10 and 20 days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differences in individual enzymes, only alkaline phosphatase (PHOS), </w:t>
      </w:r>
      <w:r w:rsidRPr="00B3074D">
        <w:rPr>
          <w:rFonts w:ascii="Times New Roman" w:hAnsi="Times New Roman" w:cs="Times New Roman"/>
          <w:color w:val="000000" w:themeColor="text1"/>
        </w:rPr>
        <w:t xml:space="preserve">ß-glucosidase (BG), and the ratio of N:P cycling enzymes showed a significant differences among herbicide treatments at time point one and two </w:t>
      </w:r>
      <w:r w:rsidRPr="00B3074D">
        <w:rPr>
          <w:rFonts w:ascii="Times New Roman" w:hAnsi="Times New Roman" w:cs="Times New Roman"/>
          <w:color w:val="000000" w:themeColor="text1"/>
        </w:rPr>
        <w:lastRenderedPageBreak/>
        <w:t>in the global models (p &lt; 0.05) (Figure 3,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were limited to PHOS activity and the ratio of N:P cycling enzymes at sampling time one (pre-treatment), with the nontreated plots having higher initial PHOS activity as compared to the handweeded plots, and lower N:P ratio as compared to the handweeded and Aatrex treated plots. While not statistically significant, this trend flipped at sampling time two and three with handweeded plots exhibiting the highest mean PHOS activity across all treatment types (Figure 3a).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there were only a few significant differences in enzyme activities over the 20 day sampling period. The Aatrex,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measured enzyme activities over time, showing a statistically significant increase in activity at 10 days after treatment followed by a reduction 20 days after treatment for both the handweeded and Roundup Powermax plots (p &lt; 0.05). No correlation was </w:t>
      </w:r>
      <w:r w:rsidRPr="00B3074D">
        <w:rPr>
          <w:rFonts w:ascii="Times New Roman" w:hAnsi="Times New Roman" w:cs="Times New Roman"/>
          <w:color w:val="000000" w:themeColor="text1"/>
          <w:shd w:val="clear" w:color="auto" w:fill="FFFFFF"/>
        </w:rPr>
        <w:lastRenderedPageBreak/>
        <w:t>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4). However, this was only statistically significant for the handweeded plots (p &lt; 0.05) (Table 5 and Supplementary Tables 4a and 4b).</w:t>
      </w:r>
    </w:p>
    <w:p w14:paraId="2642943A"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(Figure 3b &amp; 3c). PHOS activity at time one was deemed a significant predictor of PHOS activity at time two and three (p &lt; 0.05). Both herbicide treatment (p = 0.057) and the treatment by time interaction (p = 0.052) were marginally significant for predicting PHOS activity as well (Figure 3a).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3E85664C" w14:textId="77777777" w:rsidR="00B3074D" w:rsidRPr="00B3074D" w:rsidRDefault="00B3074D" w:rsidP="00B3074D">
      <w:pPr>
        <w:pStyle w:val="headingdissertation"/>
        <w:spacing w:line="480" w:lineRule="auto"/>
      </w:pPr>
      <w:r w:rsidRPr="00B3074D">
        <w:lastRenderedPageBreak/>
        <w:br/>
      </w:r>
      <w:bookmarkStart w:id="6" w:name="_Toc71026836"/>
      <w:r w:rsidRPr="00B3074D">
        <w:t>Discussion</w:t>
      </w:r>
      <w:bookmarkEnd w:id="6"/>
    </w:p>
    <w:p w14:paraId="1EB24B3A" w14:textId="77777777" w:rsidR="00B3074D" w:rsidRPr="00B3074D" w:rsidRDefault="00B3074D" w:rsidP="00B3074D">
      <w:pPr>
        <w:pStyle w:val="headingdissertation"/>
        <w:spacing w:line="480" w:lineRule="auto"/>
      </w:pPr>
    </w:p>
    <w:p w14:paraId="38FCACD7"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[38]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w:t>
      </w:r>
      <w:r w:rsidRPr="00B3074D">
        <w:rPr>
          <w:rFonts w:ascii="Times New Roman" w:hAnsi="Times New Roman" w:cs="Times New Roman"/>
          <w:color w:val="000000" w:themeColor="text1"/>
          <w:shd w:val="clear" w:color="auto" w:fill="FFFFFF"/>
        </w:rPr>
        <w:lastRenderedPageBreak/>
        <w:t>concentrations, it is likely that competition for nutrients among plants and microbes is driving 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Powermax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[125]","plainTextFormattedCitation":"[125]","previouslyFormattedCitation":"[125]"},"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[125]</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[126]","plainTextFormattedCitation":"[126]","previouslyFormattedCitation":"[126]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[38,111,127]","plainTextFormattedCitation":"[38,111,127]","previouslyFormattedCitation":"[38,111,127]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[38,111,127]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Hagner et al.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[114]","plainTextFormattedCitation":"[114]","previouslyFormattedCitation":"[114]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[114]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Hagner et al., we show that nitrate concentrations were significantly correlated with </w:t>
      </w:r>
      <w:r w:rsidRPr="00B3074D">
        <w:rPr>
          <w:rFonts w:ascii="Times New Roman" w:hAnsi="Times New Roman" w:cs="Times New Roman"/>
          <w:color w:val="000000" w:themeColor="text1"/>
          <w:shd w:val="clear" w:color="auto" w:fill="FFFFFF"/>
        </w:rPr>
        <w:lastRenderedPageBreak/>
        <w:t xml:space="preserve">vegetation cover, and at 20 days post-treatment, the handweeded plots experienced an increase in weedy vegetation cover and </w:t>
      </w:r>
      <w:r w:rsidRPr="00B3074D">
        <w:rPr>
          <w:rFonts w:ascii="Times New Roman" w:hAnsi="Times New Roman" w:cs="Times New Roman"/>
          <w:i/>
          <w:iCs/>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Hagner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Hagner et al.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[114]","plainTextFormattedCitation":"[114]","previouslyFormattedCitation":"[114]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[114]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Aatrex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[128]","plainTextFormattedCitation":"[128]","previouslyFormattedCitation":"[128]"},"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[128]</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r w:rsidRPr="00B3074D">
        <w:rPr>
          <w:rFonts w:ascii="Times New Roman" w:hAnsi="Times New Roman" w:cs="Times New Roman"/>
          <w:color w:val="000000" w:themeColor="text1"/>
        </w:rPr>
        <w:t>Aatrex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Zea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w:t>
      </w:r>
      <w:r w:rsidRPr="00B3074D">
        <w:rPr>
          <w:rFonts w:ascii="Times New Roman" w:hAnsi="Times New Roman" w:cs="Times New Roman"/>
        </w:rPr>
        <w:lastRenderedPageBreak/>
        <w:t xml:space="preserve">oxidizers, leading to short term alterations to N cycling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[113]","plainTextFormattedCitation":"[113]","previouslyFormattedCitation":"[113]"},"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[113]</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[38,111]","plainTextFormattedCitation":"[38,111]","previouslyFormattedCitation":"[38,111]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[38,111]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[129]","plainTextFormattedCitation":"[129]","previouslyFormattedCitation":"[129]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[129]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[37]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Powermax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[130]","plainTextFormattedCitation":"[130]","previouslyFormattedCitation":"[130]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Powermax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[131]","plainTextFormattedCitation":"[131]","previouslyFormattedCitation":"[131]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w:t>
      </w:r>
      <w:r w:rsidRPr="00B3074D">
        <w:rPr>
          <w:rFonts w:ascii="Times New Roman" w:hAnsi="Times New Roman" w:cs="Times New Roman"/>
          <w:color w:val="000000" w:themeColor="text1"/>
          <w:shd w:val="clear" w:color="auto" w:fill="FFFFFF"/>
        </w:rPr>
        <w:lastRenderedPageBreak/>
        <w:t xml:space="preserve">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[132]","plainTextFormattedCitation":"[132]","previouslyFormattedCitation":"[132]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Cherni et al.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[133]","plainTextFormattedCitation":"[133]","previouslyFormattedCitation":"[133]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Cherni et al.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[133]","plainTextFormattedCitation":"[133]","previouslyFormattedCitation":"[133]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Powermax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[89,134,135]","plainTextFormattedCitation":"[89,134,135]","previouslyFormattedCitation":"[89,134,135]"},"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[89,134,135]</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[127]","plainTextFormattedCitation":"[127]","previouslyFormattedCitation":"[127]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[127]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w:t>
      </w:r>
      <w:r w:rsidRPr="00B3074D">
        <w:rPr>
          <w:rFonts w:ascii="Times New Roman" w:hAnsi="Times New Roman" w:cs="Times New Roman"/>
          <w:color w:val="000000" w:themeColor="text1"/>
          <w:shd w:val="clear" w:color="auto" w:fill="FFFFFF"/>
        </w:rPr>
        <w:lastRenderedPageBreak/>
        <w:t xml:space="preserve">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[136–138]","plainTextFormattedCitation":"[136–138]","previouslyFormattedCitation":"[136–138]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[136–138]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[139]","plainTextFormattedCitation":"[139]","previouslyFormattedCitation":"[139]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[139]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Powermax and handweeded treatment </w:t>
      </w:r>
      <w:r w:rsidRPr="00B3074D">
        <w:rPr>
          <w:rFonts w:ascii="Times New Roman" w:hAnsi="Times New Roman" w:cs="Times New Roman"/>
          <w:color w:val="000000" w:themeColor="text1"/>
          <w:shd w:val="clear" w:color="auto" w:fill="FFFFFF"/>
        </w:rPr>
        <w:lastRenderedPageBreak/>
        <w:t xml:space="preserve">plots. Our findings are not all that surprising due to the high degree of functional redundancy in the soil microbiome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[140,141]","plainTextFormattedCitation":"[140,141]","previouslyFormattedCitation":"[140,141]"},"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[140,141]</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4E02838D"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phyllosphere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Powermax,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[142]","plainTextFormattedCitation":"[142]","previouslyFormattedCitation":"[142]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mesotrione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Pr="00B3074D">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[113]","plainTextFormattedCitation":"[113]","previouslyFormattedCitation":"[113]"},"properties":{"noteIndex":0},"schema":"https://github.com/citation-style-language/schema/raw/master/csl-citation.json"}</w:instrText>
      </w:r>
      <w:r w:rsidRPr="00B3074D">
        <w:rPr>
          <w:rFonts w:ascii="Times New Roman" w:hAnsi="Times New Roman" w:cs="Times New Roman"/>
        </w:rPr>
        <w:fldChar w:fldCharType="separate"/>
      </w:r>
      <w:r w:rsidRPr="00B3074D">
        <w:rPr>
          <w:rFonts w:ascii="Times New Roman" w:hAnsi="Times New Roman" w:cs="Times New Roman"/>
          <w:noProof/>
        </w:rPr>
        <w:t>[113]</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w:t>
      </w:r>
      <w:r w:rsidRPr="00B3074D">
        <w:rPr>
          <w:rFonts w:ascii="Times New Roman" w:hAnsi="Times New Roman" w:cs="Times New Roman"/>
          <w:color w:val="000000" w:themeColor="text1"/>
          <w:shd w:val="clear" w:color="auto" w:fill="FFFFFF"/>
        </w:rPr>
        <w:lastRenderedPageBreak/>
        <w:t xml:space="preserve">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Pr="00B3074D">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[101]","plainTextFormattedCitation":"[101]","previouslyFormattedCitation":"[101]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B3074D">
        <w:rPr>
          <w:rFonts w:ascii="Times New Roman" w:hAnsi="Times New Roman" w:cs="Times New Roman"/>
          <w:noProof/>
          <w:color w:val="000000" w:themeColor="text1"/>
          <w:shd w:val="clear" w:color="auto" w:fill="FFFFFF"/>
        </w:rPr>
        <w:t>[101]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7" w:name="_Toc71026837"/>
      <w:r w:rsidRPr="0037707D">
        <w:t>Tables</w:t>
      </w:r>
      <w:bookmarkEnd w:id="7"/>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E0519A">
        <w:trPr>
          <w:trHeight w:val="534"/>
        </w:trPr>
        <w:tc>
          <w:tcPr>
            <w:tcW w:w="2970" w:type="dxa"/>
          </w:tcPr>
          <w:p w14:paraId="37826CC0" w14:textId="77777777" w:rsidR="00B3074D" w:rsidRPr="0037707D" w:rsidRDefault="00B3074D" w:rsidP="00E0519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E0519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E0519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E0519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E0519A">
        <w:trPr>
          <w:trHeight w:val="267"/>
        </w:trPr>
        <w:tc>
          <w:tcPr>
            <w:tcW w:w="2970" w:type="dxa"/>
          </w:tcPr>
          <w:p w14:paraId="3936E352"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E0519A">
        <w:trPr>
          <w:trHeight w:val="674"/>
        </w:trPr>
        <w:tc>
          <w:tcPr>
            <w:tcW w:w="2970" w:type="dxa"/>
          </w:tcPr>
          <w:p w14:paraId="249F4AEB"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E0519A">
            <w:pPr>
              <w:widowControl w:val="0"/>
              <w:autoSpaceDE w:val="0"/>
              <w:autoSpaceDN w:val="0"/>
              <w:adjustRightInd w:val="0"/>
              <w:rPr>
                <w:color w:val="000000" w:themeColor="text1"/>
              </w:rPr>
            </w:pPr>
            <w:bookmarkStart w:id="8" w:name="OLE_LINK3"/>
            <w:bookmarkStart w:id="9" w:name="OLE_LINK4"/>
            <w:r w:rsidRPr="0037707D">
              <w:rPr>
                <w:color w:val="000000" w:themeColor="text1"/>
              </w:rPr>
              <w:t>atrazine and mesotrione tank mix</w:t>
            </w:r>
            <w:bookmarkEnd w:id="8"/>
            <w:bookmarkEnd w:id="9"/>
          </w:p>
        </w:tc>
        <w:tc>
          <w:tcPr>
            <w:tcW w:w="2501" w:type="dxa"/>
          </w:tcPr>
          <w:p w14:paraId="29662E1C"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E0519A">
        <w:trPr>
          <w:trHeight w:val="815"/>
        </w:trPr>
        <w:tc>
          <w:tcPr>
            <w:tcW w:w="2970" w:type="dxa"/>
          </w:tcPr>
          <w:p w14:paraId="48BC7567"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E0519A">
        <w:trPr>
          <w:trHeight w:val="548"/>
        </w:trPr>
        <w:tc>
          <w:tcPr>
            <w:tcW w:w="2970" w:type="dxa"/>
          </w:tcPr>
          <w:p w14:paraId="608596F2"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E0519A">
        <w:trPr>
          <w:trHeight w:val="253"/>
        </w:trPr>
        <w:tc>
          <w:tcPr>
            <w:tcW w:w="2970" w:type="dxa"/>
          </w:tcPr>
          <w:p w14:paraId="70BAA492"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E0519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88793C">
          <w:pgSz w:w="12240" w:h="15840"/>
          <w:pgMar w:top="1440" w:right="1440" w:bottom="1440" w:left="1440" w:header="720" w:footer="720" w:gutter="0"/>
          <w:pgNumType w:start="1"/>
          <w:cols w:space="720"/>
          <w:docGrid w:linePitch="360"/>
        </w:sectPr>
      </w:pPr>
    </w:p>
    <w:p w14:paraId="708521A9"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E0519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E0519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E0519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E0519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E0519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E0519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E0519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E0519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E0519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E0519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E0519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E0519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E0519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E0519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E0519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E0519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E0519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E0519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E0519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E0519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E0519A">
            <w:pPr>
              <w:rPr>
                <w:rFonts w:ascii="Times New Roman" w:hAnsi="Times New Roman" w:cs="Times New Roman"/>
                <w:sz w:val="16"/>
                <w:szCs w:val="16"/>
              </w:rPr>
            </w:pPr>
          </w:p>
        </w:tc>
      </w:tr>
      <w:tr w:rsidR="00B3074D" w:rsidRPr="00463D3F" w14:paraId="23617464" w14:textId="77777777" w:rsidTr="00E0519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E0519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E0519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E0519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E0519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E0519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E0519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E0519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E0519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E0519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E0519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E0519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E0519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E0519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E0519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E0519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E0519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E0519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E0519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E0519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E0519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E0519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E0519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E0519A">
            <w:pPr>
              <w:rPr>
                <w:rFonts w:ascii="Times New Roman" w:hAnsi="Times New Roman" w:cs="Times New Roman"/>
                <w:sz w:val="16"/>
                <w:szCs w:val="16"/>
              </w:rPr>
            </w:pPr>
          </w:p>
        </w:tc>
      </w:tr>
      <w:tr w:rsidR="00B3074D" w:rsidRPr="00463D3F" w14:paraId="4A42FB96" w14:textId="77777777" w:rsidTr="00E0519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E0519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E0519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E0519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E0519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E0519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E0519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E0519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E0519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E0519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E0519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E0519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E0519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E0519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E0519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E0519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E0519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E0519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88793C">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E0519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E0519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E0519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E0519A">
            <w:pPr>
              <w:rPr>
                <w:rFonts w:ascii="Times New Roman" w:hAnsi="Times New Roman" w:cs="Times New Roman"/>
                <w:color w:val="000000"/>
                <w:sz w:val="18"/>
                <w:szCs w:val="18"/>
              </w:rPr>
            </w:pPr>
          </w:p>
        </w:tc>
      </w:tr>
      <w:tr w:rsidR="00B3074D" w:rsidRPr="0037707D" w14:paraId="2AA939F8" w14:textId="77777777" w:rsidTr="00E0519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E0519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E0519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E0519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E0519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E0519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E0519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E0519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E0519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E0519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E0519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E0519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E0519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E0519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E0519A">
            <w:pPr>
              <w:rPr>
                <w:rFonts w:ascii="Times New Roman" w:hAnsi="Times New Roman" w:cs="Times New Roman"/>
                <w:sz w:val="20"/>
                <w:szCs w:val="20"/>
              </w:rPr>
            </w:pPr>
          </w:p>
        </w:tc>
      </w:tr>
      <w:tr w:rsidR="00B3074D" w:rsidRPr="0037707D" w14:paraId="78F81112" w14:textId="77777777" w:rsidTr="00E0519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E0519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E0519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E0519A">
            <w:pPr>
              <w:rPr>
                <w:rFonts w:ascii="Times New Roman" w:hAnsi="Times New Roman" w:cs="Times New Roman"/>
                <w:color w:val="000000"/>
                <w:sz w:val="18"/>
                <w:szCs w:val="18"/>
              </w:rPr>
            </w:pPr>
          </w:p>
        </w:tc>
      </w:tr>
      <w:tr w:rsidR="00B3074D" w:rsidRPr="0037707D" w14:paraId="24A31C22" w14:textId="77777777" w:rsidTr="00E0519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E0519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E0519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E0519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E0519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E0519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E0519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E0519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E0519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E0519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E0519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E0519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E0519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E0519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E0519A">
            <w:pPr>
              <w:rPr>
                <w:rFonts w:ascii="Times New Roman" w:hAnsi="Times New Roman" w:cs="Times New Roman"/>
                <w:sz w:val="20"/>
                <w:szCs w:val="20"/>
              </w:rPr>
            </w:pPr>
          </w:p>
        </w:tc>
      </w:tr>
      <w:tr w:rsidR="00B3074D" w:rsidRPr="0037707D" w14:paraId="30F7565B" w14:textId="77777777" w:rsidTr="00E0519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E0519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E0519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E0519A">
            <w:pPr>
              <w:rPr>
                <w:rFonts w:ascii="Times New Roman" w:hAnsi="Times New Roman" w:cs="Times New Roman"/>
                <w:color w:val="000000"/>
                <w:sz w:val="18"/>
                <w:szCs w:val="18"/>
              </w:rPr>
            </w:pPr>
          </w:p>
        </w:tc>
      </w:tr>
      <w:tr w:rsidR="00B3074D" w:rsidRPr="0037707D" w14:paraId="44EDA5FA" w14:textId="77777777" w:rsidTr="00E0519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E0519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E0519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E0519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E0519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E0519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E0519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E0519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E0519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E0519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E0519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E0519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E0519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E0519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E0519A">
            <w:pPr>
              <w:rPr>
                <w:rFonts w:ascii="Times New Roman" w:hAnsi="Times New Roman" w:cs="Times New Roman"/>
                <w:sz w:val="20"/>
                <w:szCs w:val="20"/>
              </w:rPr>
            </w:pPr>
          </w:p>
        </w:tc>
      </w:tr>
      <w:tr w:rsidR="00B3074D" w:rsidRPr="0037707D" w14:paraId="2B212777" w14:textId="77777777" w:rsidTr="00E0519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E0519A">
            <w:pPr>
              <w:jc w:val="center"/>
              <w:rPr>
                <w:rFonts w:ascii="Times New Roman" w:hAnsi="Times New Roman" w:cs="Times New Roman"/>
                <w:color w:val="000000"/>
                <w:sz w:val="18"/>
                <w:szCs w:val="18"/>
              </w:rPr>
            </w:pPr>
          </w:p>
          <w:p w14:paraId="4854AF0F" w14:textId="77777777" w:rsidR="00B3074D" w:rsidRDefault="00B3074D" w:rsidP="00E0519A">
            <w:pPr>
              <w:jc w:val="center"/>
              <w:rPr>
                <w:rFonts w:ascii="Times New Roman" w:hAnsi="Times New Roman" w:cs="Times New Roman"/>
                <w:color w:val="000000"/>
                <w:sz w:val="18"/>
                <w:szCs w:val="18"/>
              </w:rPr>
            </w:pPr>
          </w:p>
          <w:p w14:paraId="73CCBE45" w14:textId="77777777" w:rsidR="00B3074D" w:rsidRDefault="00B3074D" w:rsidP="00E0519A">
            <w:pPr>
              <w:jc w:val="center"/>
              <w:rPr>
                <w:rFonts w:ascii="Times New Roman" w:hAnsi="Times New Roman" w:cs="Times New Roman"/>
                <w:color w:val="000000"/>
                <w:sz w:val="18"/>
                <w:szCs w:val="18"/>
              </w:rPr>
            </w:pPr>
          </w:p>
          <w:p w14:paraId="10AC4585" w14:textId="77777777" w:rsidR="00B3074D" w:rsidRDefault="00B3074D" w:rsidP="00E0519A">
            <w:pPr>
              <w:jc w:val="center"/>
              <w:rPr>
                <w:rFonts w:ascii="Times New Roman" w:hAnsi="Times New Roman" w:cs="Times New Roman"/>
                <w:color w:val="000000"/>
                <w:sz w:val="18"/>
                <w:szCs w:val="18"/>
              </w:rPr>
            </w:pPr>
          </w:p>
          <w:p w14:paraId="3BF3BAE3" w14:textId="77777777" w:rsidR="00B3074D" w:rsidRDefault="00B3074D" w:rsidP="00E0519A">
            <w:pPr>
              <w:jc w:val="center"/>
              <w:rPr>
                <w:rFonts w:ascii="Times New Roman" w:hAnsi="Times New Roman" w:cs="Times New Roman"/>
                <w:color w:val="000000"/>
                <w:sz w:val="18"/>
                <w:szCs w:val="18"/>
              </w:rPr>
            </w:pPr>
          </w:p>
          <w:p w14:paraId="10555974" w14:textId="77777777" w:rsidR="00B3074D" w:rsidRDefault="00B3074D" w:rsidP="00E0519A">
            <w:pPr>
              <w:jc w:val="center"/>
              <w:rPr>
                <w:rFonts w:ascii="Times New Roman" w:hAnsi="Times New Roman" w:cs="Times New Roman"/>
                <w:color w:val="000000"/>
                <w:sz w:val="18"/>
                <w:szCs w:val="18"/>
              </w:rPr>
            </w:pPr>
          </w:p>
          <w:p w14:paraId="35557974"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E0519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E0519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E0519A">
            <w:pPr>
              <w:rPr>
                <w:rFonts w:ascii="Times New Roman" w:hAnsi="Times New Roman" w:cs="Times New Roman"/>
                <w:color w:val="000000"/>
                <w:sz w:val="18"/>
                <w:szCs w:val="18"/>
              </w:rPr>
            </w:pPr>
          </w:p>
        </w:tc>
      </w:tr>
      <w:tr w:rsidR="00B3074D" w:rsidRPr="0037707D" w14:paraId="3B86B610" w14:textId="77777777" w:rsidTr="00E0519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E0519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E0519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E0519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E0519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E0519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E0519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E0519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E0519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E0519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E0519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E0519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E0519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E0519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E0519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E0519A">
            <w:pPr>
              <w:rPr>
                <w:rFonts w:ascii="Times New Roman" w:hAnsi="Times New Roman" w:cs="Times New Roman"/>
                <w:sz w:val="20"/>
                <w:szCs w:val="20"/>
              </w:rPr>
            </w:pPr>
          </w:p>
        </w:tc>
      </w:tr>
      <w:tr w:rsidR="00B3074D" w:rsidRPr="0037707D" w14:paraId="20CB156D" w14:textId="77777777" w:rsidTr="00E0519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E0519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E0519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E0519A">
            <w:pPr>
              <w:rPr>
                <w:rFonts w:ascii="Times New Roman" w:hAnsi="Times New Roman" w:cs="Times New Roman"/>
                <w:color w:val="000000"/>
                <w:sz w:val="18"/>
                <w:szCs w:val="18"/>
              </w:rPr>
            </w:pPr>
          </w:p>
        </w:tc>
      </w:tr>
      <w:tr w:rsidR="00B3074D" w:rsidRPr="0037707D" w14:paraId="03524019" w14:textId="77777777" w:rsidTr="00E0519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E0519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E0519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E0519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E0519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E0519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E0519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E0519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E0519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E0519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E0519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E0519A">
            <w:pPr>
              <w:rPr>
                <w:rFonts w:ascii="Times New Roman" w:hAnsi="Times New Roman" w:cs="Times New Roman"/>
              </w:rPr>
            </w:pPr>
          </w:p>
        </w:tc>
      </w:tr>
      <w:tr w:rsidR="00B3074D" w:rsidRPr="0037707D" w14:paraId="45743ECC" w14:textId="77777777" w:rsidTr="00E0519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E0519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E0519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E0519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E0519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E0519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E0519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E0519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E0519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E0519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E0519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E0519A">
            <w:pPr>
              <w:rPr>
                <w:rFonts w:ascii="Times New Roman" w:hAnsi="Times New Roman" w:cs="Times New Roman"/>
                <w:b/>
                <w:bCs/>
                <w:sz w:val="20"/>
                <w:szCs w:val="20"/>
              </w:rPr>
            </w:pPr>
          </w:p>
        </w:tc>
      </w:tr>
      <w:tr w:rsidR="00B3074D" w:rsidRPr="0037707D" w14:paraId="231998A5"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E0519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E0519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E0519A">
            <w:pPr>
              <w:rPr>
                <w:rFonts w:ascii="Times New Roman" w:hAnsi="Times New Roman" w:cs="Times New Roman"/>
                <w:sz w:val="20"/>
                <w:szCs w:val="20"/>
              </w:rPr>
            </w:pPr>
          </w:p>
        </w:tc>
      </w:tr>
      <w:tr w:rsidR="00B3074D" w:rsidRPr="0037707D" w14:paraId="66A61854" w14:textId="77777777" w:rsidTr="00E0519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E0519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E0519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E0519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E0519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E0519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E0519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E0519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E0519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E0519A">
            <w:pPr>
              <w:rPr>
                <w:rFonts w:ascii="Times New Roman" w:hAnsi="Times New Roman" w:cs="Times New Roman"/>
                <w:sz w:val="20"/>
                <w:szCs w:val="20"/>
              </w:rPr>
            </w:pPr>
          </w:p>
        </w:tc>
      </w:tr>
      <w:tr w:rsidR="00B3074D" w:rsidRPr="0037707D" w14:paraId="338FC97A" w14:textId="77777777" w:rsidTr="00E0519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E0519A">
            <w:pPr>
              <w:jc w:val="center"/>
              <w:rPr>
                <w:rFonts w:ascii="Times New Roman" w:hAnsi="Times New Roman" w:cs="Times New Roman"/>
                <w:color w:val="000000"/>
                <w:sz w:val="18"/>
                <w:szCs w:val="18"/>
              </w:rPr>
            </w:pPr>
          </w:p>
          <w:p w14:paraId="788D4279" w14:textId="77777777" w:rsidR="00B3074D" w:rsidRDefault="00B3074D" w:rsidP="00E0519A">
            <w:pPr>
              <w:jc w:val="center"/>
              <w:rPr>
                <w:rFonts w:ascii="Times New Roman" w:hAnsi="Times New Roman" w:cs="Times New Roman"/>
                <w:color w:val="000000"/>
                <w:sz w:val="18"/>
                <w:szCs w:val="18"/>
              </w:rPr>
            </w:pPr>
          </w:p>
          <w:p w14:paraId="5E3C01C8" w14:textId="77777777" w:rsidR="00B3074D" w:rsidRDefault="00B3074D" w:rsidP="00E0519A">
            <w:pPr>
              <w:jc w:val="center"/>
              <w:rPr>
                <w:rFonts w:ascii="Times New Roman" w:hAnsi="Times New Roman" w:cs="Times New Roman"/>
                <w:color w:val="000000"/>
                <w:sz w:val="18"/>
                <w:szCs w:val="18"/>
              </w:rPr>
            </w:pPr>
          </w:p>
          <w:p w14:paraId="3F1D502A" w14:textId="77777777" w:rsidR="00B3074D" w:rsidRDefault="00B3074D" w:rsidP="00E0519A">
            <w:pPr>
              <w:jc w:val="center"/>
              <w:rPr>
                <w:rFonts w:ascii="Times New Roman" w:hAnsi="Times New Roman" w:cs="Times New Roman"/>
                <w:color w:val="000000"/>
                <w:sz w:val="18"/>
                <w:szCs w:val="18"/>
              </w:rPr>
            </w:pPr>
          </w:p>
          <w:p w14:paraId="6299346C" w14:textId="77777777" w:rsidR="00B3074D" w:rsidRDefault="00B3074D" w:rsidP="00E0519A">
            <w:pPr>
              <w:jc w:val="center"/>
              <w:rPr>
                <w:rFonts w:ascii="Times New Roman" w:hAnsi="Times New Roman" w:cs="Times New Roman"/>
                <w:color w:val="000000"/>
                <w:sz w:val="18"/>
                <w:szCs w:val="18"/>
              </w:rPr>
            </w:pPr>
          </w:p>
          <w:p w14:paraId="2A7CF2EB" w14:textId="77777777" w:rsidR="00B3074D" w:rsidRDefault="00B3074D" w:rsidP="00E0519A">
            <w:pPr>
              <w:jc w:val="center"/>
              <w:rPr>
                <w:rFonts w:ascii="Times New Roman" w:hAnsi="Times New Roman" w:cs="Times New Roman"/>
                <w:color w:val="000000"/>
                <w:sz w:val="18"/>
                <w:szCs w:val="18"/>
              </w:rPr>
            </w:pPr>
          </w:p>
          <w:p w14:paraId="167FF97D" w14:textId="77777777" w:rsidR="00B3074D" w:rsidRDefault="00B3074D" w:rsidP="00E0519A">
            <w:pPr>
              <w:jc w:val="center"/>
              <w:rPr>
                <w:rFonts w:ascii="Times New Roman" w:hAnsi="Times New Roman" w:cs="Times New Roman"/>
                <w:color w:val="000000"/>
                <w:sz w:val="18"/>
                <w:szCs w:val="18"/>
              </w:rPr>
            </w:pPr>
          </w:p>
          <w:p w14:paraId="4692FB43" w14:textId="77777777" w:rsidR="00B3074D" w:rsidRDefault="00B3074D" w:rsidP="00E0519A">
            <w:pPr>
              <w:jc w:val="center"/>
              <w:rPr>
                <w:rFonts w:ascii="Times New Roman" w:hAnsi="Times New Roman" w:cs="Times New Roman"/>
                <w:color w:val="000000"/>
                <w:sz w:val="18"/>
                <w:szCs w:val="18"/>
              </w:rPr>
            </w:pPr>
          </w:p>
          <w:p w14:paraId="0FBE24CA" w14:textId="77777777" w:rsidR="00B3074D" w:rsidRDefault="00B3074D" w:rsidP="00E0519A">
            <w:pPr>
              <w:jc w:val="center"/>
              <w:rPr>
                <w:rFonts w:ascii="Times New Roman" w:hAnsi="Times New Roman" w:cs="Times New Roman"/>
                <w:color w:val="000000"/>
                <w:sz w:val="18"/>
                <w:szCs w:val="18"/>
              </w:rPr>
            </w:pPr>
          </w:p>
          <w:p w14:paraId="0C961EFF" w14:textId="77777777" w:rsidR="00B3074D" w:rsidRDefault="00B3074D" w:rsidP="00E0519A">
            <w:pPr>
              <w:jc w:val="center"/>
              <w:rPr>
                <w:rFonts w:ascii="Times New Roman" w:hAnsi="Times New Roman" w:cs="Times New Roman"/>
                <w:color w:val="000000"/>
                <w:sz w:val="18"/>
                <w:szCs w:val="18"/>
              </w:rPr>
            </w:pPr>
          </w:p>
          <w:p w14:paraId="762FC64B" w14:textId="77777777" w:rsidR="00B3074D" w:rsidRDefault="00B3074D" w:rsidP="00E0519A">
            <w:pPr>
              <w:jc w:val="center"/>
              <w:rPr>
                <w:rFonts w:ascii="Times New Roman" w:hAnsi="Times New Roman" w:cs="Times New Roman"/>
                <w:color w:val="000000"/>
                <w:sz w:val="18"/>
                <w:szCs w:val="18"/>
              </w:rPr>
            </w:pPr>
          </w:p>
          <w:p w14:paraId="21D72B27" w14:textId="77777777" w:rsidR="00B3074D" w:rsidRDefault="00B3074D" w:rsidP="00E0519A">
            <w:pPr>
              <w:jc w:val="center"/>
              <w:rPr>
                <w:rFonts w:ascii="Times New Roman" w:hAnsi="Times New Roman" w:cs="Times New Roman"/>
                <w:color w:val="000000"/>
                <w:sz w:val="18"/>
                <w:szCs w:val="18"/>
              </w:rPr>
            </w:pPr>
          </w:p>
          <w:p w14:paraId="569F2D0A"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E0519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E0519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E0519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E0519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E0519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E0519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E0519A">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E0519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27F82C10" w14:textId="77777777" w:rsidR="00B3074D" w:rsidRPr="0037707D" w:rsidRDefault="00B3074D" w:rsidP="00E0519A">
            <w:pPr>
              <w:rPr>
                <w:rFonts w:ascii="Times New Roman" w:hAnsi="Times New Roman" w:cs="Times New Roman"/>
                <w:color w:val="000000"/>
                <w:sz w:val="18"/>
                <w:szCs w:val="18"/>
              </w:rPr>
            </w:pPr>
          </w:p>
        </w:tc>
      </w:tr>
      <w:tr w:rsidR="00B3074D" w:rsidRPr="0037707D" w14:paraId="71DD0DB7" w14:textId="77777777" w:rsidTr="00E0519A">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244E7B4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E0519A">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05A5FA5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E0519A">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1D23FAC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E0519A">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4A8AA85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E0519A">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54B0722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E0519A">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4F560D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E0519A">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4386142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E0519A">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7AB7AC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E0519A">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45C0D88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E0519A">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00813F4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E0519A">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2" w:type="dxa"/>
            <w:tcBorders>
              <w:top w:val="nil"/>
              <w:left w:val="nil"/>
              <w:bottom w:val="nil"/>
              <w:right w:val="nil"/>
            </w:tcBorders>
            <w:shd w:val="clear" w:color="auto" w:fill="auto"/>
            <w:noWrap/>
            <w:vAlign w:val="center"/>
          </w:tcPr>
          <w:p w14:paraId="3A0FC97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E0519A">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E0519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E0519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E0519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04BC2CCE" w14:textId="77777777" w:rsidR="00B3074D" w:rsidRPr="0037707D" w:rsidRDefault="00B3074D" w:rsidP="00E0519A">
            <w:pPr>
              <w:rPr>
                <w:rFonts w:ascii="Times New Roman" w:hAnsi="Times New Roman" w:cs="Times New Roman"/>
                <w:sz w:val="20"/>
                <w:szCs w:val="20"/>
              </w:rPr>
            </w:pPr>
          </w:p>
        </w:tc>
      </w:tr>
      <w:tr w:rsidR="00B3074D" w:rsidRPr="0037707D" w14:paraId="7F47B594" w14:textId="77777777" w:rsidTr="00E0519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E0519A">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E0519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5BDC15E1" w14:textId="77777777" w:rsidR="00B3074D" w:rsidRPr="0037707D" w:rsidRDefault="00B3074D" w:rsidP="00E0519A">
            <w:pPr>
              <w:rPr>
                <w:rFonts w:ascii="Times New Roman" w:hAnsi="Times New Roman" w:cs="Times New Roman"/>
                <w:color w:val="000000"/>
                <w:sz w:val="18"/>
                <w:szCs w:val="18"/>
              </w:rPr>
            </w:pPr>
          </w:p>
        </w:tc>
      </w:tr>
      <w:tr w:rsidR="00B3074D" w:rsidRPr="0037707D" w14:paraId="161CA445" w14:textId="77777777" w:rsidTr="00E0519A">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0111775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E0519A">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2A0FEF85"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E0519A">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B6BEE5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E0519A">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2" w:type="dxa"/>
            <w:tcBorders>
              <w:top w:val="nil"/>
              <w:left w:val="nil"/>
              <w:bottom w:val="nil"/>
              <w:right w:val="nil"/>
            </w:tcBorders>
            <w:shd w:val="clear" w:color="auto" w:fill="auto"/>
            <w:noWrap/>
            <w:vAlign w:val="center"/>
            <w:hideMark/>
          </w:tcPr>
          <w:p w14:paraId="2988A34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E0519A">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69033FD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E0519A">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D80F32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E0519A">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2" w:type="dxa"/>
            <w:tcBorders>
              <w:top w:val="nil"/>
              <w:left w:val="nil"/>
              <w:bottom w:val="nil"/>
              <w:right w:val="nil"/>
            </w:tcBorders>
            <w:shd w:val="clear" w:color="auto" w:fill="auto"/>
            <w:noWrap/>
            <w:vAlign w:val="center"/>
            <w:hideMark/>
          </w:tcPr>
          <w:p w14:paraId="06FEEF0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E0519A">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14F6BD7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E0519A">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609EA2B"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E0519A">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2" w:type="dxa"/>
            <w:tcBorders>
              <w:top w:val="nil"/>
              <w:left w:val="nil"/>
              <w:bottom w:val="nil"/>
              <w:right w:val="nil"/>
            </w:tcBorders>
            <w:shd w:val="clear" w:color="auto" w:fill="auto"/>
            <w:noWrap/>
            <w:vAlign w:val="center"/>
            <w:hideMark/>
          </w:tcPr>
          <w:p w14:paraId="5D7004E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E0519A">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2" w:type="dxa"/>
            <w:tcBorders>
              <w:top w:val="nil"/>
              <w:left w:val="nil"/>
              <w:bottom w:val="nil"/>
              <w:right w:val="nil"/>
            </w:tcBorders>
            <w:shd w:val="clear" w:color="auto" w:fill="auto"/>
            <w:noWrap/>
            <w:vAlign w:val="center"/>
          </w:tcPr>
          <w:p w14:paraId="6DF58DD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E0519A">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E0519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E0519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E0519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71EEE21A" w14:textId="77777777" w:rsidR="00B3074D" w:rsidRPr="0037707D" w:rsidRDefault="00B3074D" w:rsidP="00E0519A">
            <w:pPr>
              <w:rPr>
                <w:rFonts w:ascii="Times New Roman" w:hAnsi="Times New Roman" w:cs="Times New Roman"/>
                <w:sz w:val="20"/>
                <w:szCs w:val="20"/>
              </w:rPr>
            </w:pPr>
          </w:p>
        </w:tc>
      </w:tr>
      <w:tr w:rsidR="00B3074D" w:rsidRPr="0037707D" w14:paraId="1FBB62D5" w14:textId="77777777" w:rsidTr="00E0519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E0519A">
            <w:pPr>
              <w:jc w:val="center"/>
              <w:rPr>
                <w:rFonts w:ascii="Times New Roman" w:hAnsi="Times New Roman" w:cs="Times New Roman"/>
                <w:color w:val="000000"/>
                <w:sz w:val="18"/>
                <w:szCs w:val="18"/>
              </w:rPr>
            </w:pPr>
          </w:p>
          <w:p w14:paraId="77E2754F" w14:textId="77777777" w:rsidR="00B3074D" w:rsidRDefault="00B3074D" w:rsidP="00E0519A">
            <w:pPr>
              <w:jc w:val="center"/>
              <w:rPr>
                <w:rFonts w:ascii="Times New Roman" w:hAnsi="Times New Roman" w:cs="Times New Roman"/>
                <w:color w:val="000000"/>
                <w:sz w:val="18"/>
                <w:szCs w:val="18"/>
              </w:rPr>
            </w:pPr>
          </w:p>
          <w:p w14:paraId="45BB58E0" w14:textId="77777777" w:rsidR="00B3074D" w:rsidRDefault="00B3074D" w:rsidP="00E0519A">
            <w:pPr>
              <w:jc w:val="center"/>
              <w:rPr>
                <w:rFonts w:ascii="Times New Roman" w:hAnsi="Times New Roman" w:cs="Times New Roman"/>
                <w:color w:val="000000"/>
                <w:sz w:val="18"/>
                <w:szCs w:val="18"/>
              </w:rPr>
            </w:pPr>
          </w:p>
          <w:p w14:paraId="3F4D68E9" w14:textId="77777777" w:rsidR="00B3074D" w:rsidRDefault="00B3074D" w:rsidP="00E0519A">
            <w:pPr>
              <w:jc w:val="center"/>
              <w:rPr>
                <w:rFonts w:ascii="Times New Roman" w:hAnsi="Times New Roman" w:cs="Times New Roman"/>
                <w:color w:val="000000"/>
                <w:sz w:val="18"/>
                <w:szCs w:val="18"/>
              </w:rPr>
            </w:pPr>
          </w:p>
          <w:p w14:paraId="17BE7CD4" w14:textId="77777777" w:rsidR="00B3074D" w:rsidRDefault="00B3074D" w:rsidP="00E0519A">
            <w:pPr>
              <w:jc w:val="center"/>
              <w:rPr>
                <w:rFonts w:ascii="Times New Roman" w:hAnsi="Times New Roman" w:cs="Times New Roman"/>
                <w:color w:val="000000"/>
                <w:sz w:val="18"/>
                <w:szCs w:val="18"/>
              </w:rPr>
            </w:pPr>
          </w:p>
          <w:p w14:paraId="01C77DC0" w14:textId="77777777" w:rsidR="00B3074D" w:rsidRDefault="00B3074D" w:rsidP="00E0519A">
            <w:pPr>
              <w:jc w:val="center"/>
              <w:rPr>
                <w:rFonts w:ascii="Times New Roman" w:hAnsi="Times New Roman" w:cs="Times New Roman"/>
                <w:color w:val="000000"/>
                <w:sz w:val="18"/>
                <w:szCs w:val="18"/>
              </w:rPr>
            </w:pPr>
          </w:p>
          <w:p w14:paraId="5D2FF315" w14:textId="77777777" w:rsidR="00B3074D" w:rsidRDefault="00B3074D" w:rsidP="00E0519A">
            <w:pPr>
              <w:jc w:val="center"/>
              <w:rPr>
                <w:rFonts w:ascii="Times New Roman" w:hAnsi="Times New Roman" w:cs="Times New Roman"/>
                <w:color w:val="000000"/>
                <w:sz w:val="18"/>
                <w:szCs w:val="18"/>
              </w:rPr>
            </w:pPr>
          </w:p>
          <w:p w14:paraId="138D5FA6" w14:textId="77777777" w:rsidR="00B3074D" w:rsidRDefault="00B3074D" w:rsidP="00E0519A">
            <w:pPr>
              <w:jc w:val="center"/>
              <w:rPr>
                <w:rFonts w:ascii="Times New Roman" w:hAnsi="Times New Roman" w:cs="Times New Roman"/>
                <w:color w:val="000000"/>
                <w:sz w:val="18"/>
                <w:szCs w:val="18"/>
              </w:rPr>
            </w:pPr>
          </w:p>
          <w:p w14:paraId="319B26D1" w14:textId="77777777" w:rsidR="00B3074D" w:rsidRDefault="00B3074D" w:rsidP="00E0519A">
            <w:pPr>
              <w:jc w:val="center"/>
              <w:rPr>
                <w:rFonts w:ascii="Times New Roman" w:hAnsi="Times New Roman" w:cs="Times New Roman"/>
                <w:color w:val="000000"/>
                <w:sz w:val="18"/>
                <w:szCs w:val="18"/>
              </w:rPr>
            </w:pPr>
          </w:p>
          <w:p w14:paraId="282CECA7" w14:textId="77777777" w:rsidR="00B3074D" w:rsidRDefault="00B3074D" w:rsidP="00E0519A">
            <w:pPr>
              <w:jc w:val="center"/>
              <w:rPr>
                <w:rFonts w:ascii="Times New Roman" w:hAnsi="Times New Roman" w:cs="Times New Roman"/>
                <w:color w:val="000000"/>
                <w:sz w:val="18"/>
                <w:szCs w:val="18"/>
              </w:rPr>
            </w:pPr>
          </w:p>
          <w:p w14:paraId="5E7F9C81" w14:textId="77777777" w:rsidR="00B3074D" w:rsidRDefault="00B3074D" w:rsidP="00E0519A">
            <w:pPr>
              <w:jc w:val="center"/>
              <w:rPr>
                <w:rFonts w:ascii="Times New Roman" w:hAnsi="Times New Roman" w:cs="Times New Roman"/>
                <w:color w:val="000000"/>
                <w:sz w:val="18"/>
                <w:szCs w:val="18"/>
              </w:rPr>
            </w:pPr>
          </w:p>
          <w:p w14:paraId="60A3F8E6" w14:textId="77777777" w:rsidR="00B3074D" w:rsidRDefault="00B3074D" w:rsidP="00E0519A">
            <w:pPr>
              <w:jc w:val="center"/>
              <w:rPr>
                <w:rFonts w:ascii="Times New Roman" w:hAnsi="Times New Roman" w:cs="Times New Roman"/>
                <w:color w:val="000000"/>
                <w:sz w:val="18"/>
                <w:szCs w:val="18"/>
              </w:rPr>
            </w:pPr>
          </w:p>
          <w:p w14:paraId="0D9068F3" w14:textId="77777777" w:rsidR="00B3074D" w:rsidRDefault="00B3074D" w:rsidP="00E0519A">
            <w:pPr>
              <w:jc w:val="center"/>
              <w:rPr>
                <w:rFonts w:ascii="Times New Roman" w:hAnsi="Times New Roman" w:cs="Times New Roman"/>
                <w:color w:val="000000"/>
                <w:sz w:val="18"/>
                <w:szCs w:val="18"/>
              </w:rPr>
            </w:pPr>
          </w:p>
          <w:p w14:paraId="7816DA23"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E0519A">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E0519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07A17B41" w14:textId="77777777" w:rsidR="00B3074D" w:rsidRPr="0037707D" w:rsidRDefault="00B3074D" w:rsidP="00E0519A">
            <w:pPr>
              <w:rPr>
                <w:rFonts w:ascii="Times New Roman" w:hAnsi="Times New Roman" w:cs="Times New Roman"/>
                <w:color w:val="000000"/>
                <w:sz w:val="18"/>
                <w:szCs w:val="18"/>
              </w:rPr>
            </w:pPr>
          </w:p>
        </w:tc>
      </w:tr>
      <w:tr w:rsidR="00B3074D" w:rsidRPr="0037707D" w14:paraId="69D0F7BD" w14:textId="77777777" w:rsidTr="00E0519A">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58A5C05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E0519A">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3E6B034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E0519A">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2FE6A5A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E0519A">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37752B2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E0519A">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47AAD26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E0519A">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19FAF4F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E0519A">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1DD21D3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E0519A">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2C8FFBE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E0519A">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355FBE7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E0519A">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6AEE0DE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E0519A">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2" w:type="dxa"/>
            <w:tcBorders>
              <w:top w:val="nil"/>
              <w:left w:val="nil"/>
              <w:bottom w:val="nil"/>
              <w:right w:val="nil"/>
            </w:tcBorders>
            <w:shd w:val="clear" w:color="auto" w:fill="auto"/>
            <w:noWrap/>
            <w:vAlign w:val="center"/>
          </w:tcPr>
          <w:p w14:paraId="1C1C0D4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E0519A">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E0519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E0519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E0519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4A41B2C2" w14:textId="77777777" w:rsidR="00B3074D" w:rsidRPr="0037707D" w:rsidRDefault="00B3074D" w:rsidP="00E0519A">
            <w:pPr>
              <w:rPr>
                <w:rFonts w:ascii="Times New Roman" w:hAnsi="Times New Roman" w:cs="Times New Roman"/>
                <w:sz w:val="20"/>
                <w:szCs w:val="20"/>
              </w:rPr>
            </w:pPr>
          </w:p>
        </w:tc>
      </w:tr>
      <w:tr w:rsidR="00B3074D" w:rsidRPr="0037707D" w14:paraId="26121818" w14:textId="77777777" w:rsidTr="00E0519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E0519A">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E0519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439A85D3" w14:textId="77777777" w:rsidR="00B3074D" w:rsidRPr="0037707D" w:rsidRDefault="00B3074D" w:rsidP="00E0519A">
            <w:pPr>
              <w:rPr>
                <w:rFonts w:ascii="Times New Roman" w:hAnsi="Times New Roman" w:cs="Times New Roman"/>
                <w:color w:val="000000"/>
                <w:sz w:val="18"/>
                <w:szCs w:val="18"/>
              </w:rPr>
            </w:pPr>
          </w:p>
        </w:tc>
      </w:tr>
      <w:tr w:rsidR="00B3074D" w:rsidRPr="0037707D" w14:paraId="7A102F16" w14:textId="77777777" w:rsidTr="00E0519A">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557F2F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E0519A">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2" w:type="dxa"/>
            <w:tcBorders>
              <w:top w:val="nil"/>
              <w:left w:val="nil"/>
              <w:bottom w:val="nil"/>
              <w:right w:val="nil"/>
            </w:tcBorders>
            <w:shd w:val="clear" w:color="auto" w:fill="auto"/>
            <w:noWrap/>
            <w:vAlign w:val="center"/>
            <w:hideMark/>
          </w:tcPr>
          <w:p w14:paraId="671664D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E0519A">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2" w:type="dxa"/>
            <w:tcBorders>
              <w:top w:val="nil"/>
              <w:left w:val="nil"/>
              <w:bottom w:val="nil"/>
              <w:right w:val="nil"/>
            </w:tcBorders>
            <w:shd w:val="clear" w:color="auto" w:fill="auto"/>
            <w:noWrap/>
            <w:vAlign w:val="center"/>
            <w:hideMark/>
          </w:tcPr>
          <w:p w14:paraId="2F68C57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E0519A">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2" w:type="dxa"/>
            <w:tcBorders>
              <w:top w:val="nil"/>
              <w:left w:val="nil"/>
              <w:bottom w:val="nil"/>
              <w:right w:val="nil"/>
            </w:tcBorders>
            <w:shd w:val="clear" w:color="auto" w:fill="auto"/>
            <w:noWrap/>
            <w:vAlign w:val="center"/>
            <w:hideMark/>
          </w:tcPr>
          <w:p w14:paraId="78A4441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E0519A">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2" w:type="dxa"/>
            <w:tcBorders>
              <w:top w:val="nil"/>
              <w:left w:val="nil"/>
              <w:bottom w:val="nil"/>
              <w:right w:val="nil"/>
            </w:tcBorders>
            <w:shd w:val="clear" w:color="auto" w:fill="auto"/>
            <w:noWrap/>
            <w:vAlign w:val="center"/>
            <w:hideMark/>
          </w:tcPr>
          <w:p w14:paraId="482A1DA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E0519A">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2" w:type="dxa"/>
            <w:tcBorders>
              <w:top w:val="nil"/>
              <w:left w:val="nil"/>
              <w:bottom w:val="nil"/>
              <w:right w:val="nil"/>
            </w:tcBorders>
            <w:shd w:val="clear" w:color="auto" w:fill="auto"/>
            <w:noWrap/>
            <w:vAlign w:val="center"/>
            <w:hideMark/>
          </w:tcPr>
          <w:p w14:paraId="38C0B1C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E0519A">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2" w:type="dxa"/>
            <w:tcBorders>
              <w:top w:val="nil"/>
              <w:left w:val="nil"/>
              <w:bottom w:val="nil"/>
              <w:right w:val="nil"/>
            </w:tcBorders>
            <w:shd w:val="clear" w:color="auto" w:fill="auto"/>
            <w:noWrap/>
            <w:vAlign w:val="center"/>
            <w:hideMark/>
          </w:tcPr>
          <w:p w14:paraId="2E6000C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E0519A">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2" w:type="dxa"/>
            <w:tcBorders>
              <w:top w:val="nil"/>
              <w:left w:val="nil"/>
              <w:bottom w:val="nil"/>
              <w:right w:val="nil"/>
            </w:tcBorders>
            <w:shd w:val="clear" w:color="auto" w:fill="auto"/>
            <w:noWrap/>
            <w:vAlign w:val="center"/>
            <w:hideMark/>
          </w:tcPr>
          <w:p w14:paraId="446BA10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E0519A">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2" w:type="dxa"/>
            <w:tcBorders>
              <w:top w:val="nil"/>
              <w:left w:val="nil"/>
              <w:bottom w:val="nil"/>
              <w:right w:val="nil"/>
            </w:tcBorders>
            <w:shd w:val="clear" w:color="auto" w:fill="auto"/>
            <w:noWrap/>
            <w:vAlign w:val="center"/>
            <w:hideMark/>
          </w:tcPr>
          <w:p w14:paraId="1CEA31C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E0519A">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2" w:type="dxa"/>
            <w:tcBorders>
              <w:top w:val="nil"/>
              <w:left w:val="nil"/>
              <w:bottom w:val="nil"/>
              <w:right w:val="nil"/>
            </w:tcBorders>
            <w:shd w:val="clear" w:color="auto" w:fill="auto"/>
            <w:noWrap/>
            <w:vAlign w:val="center"/>
            <w:hideMark/>
          </w:tcPr>
          <w:p w14:paraId="0C47A30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E0519A">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2" w:type="dxa"/>
            <w:tcBorders>
              <w:top w:val="nil"/>
              <w:left w:val="nil"/>
              <w:bottom w:val="nil"/>
              <w:right w:val="nil"/>
            </w:tcBorders>
            <w:shd w:val="clear" w:color="auto" w:fill="auto"/>
            <w:noWrap/>
            <w:vAlign w:val="center"/>
          </w:tcPr>
          <w:p w14:paraId="0DF8349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E0519A">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E0519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E0519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E0519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391C4ECC" w14:textId="77777777" w:rsidR="00B3074D" w:rsidRPr="0037707D" w:rsidRDefault="00B3074D" w:rsidP="00E0519A">
            <w:pPr>
              <w:rPr>
                <w:rFonts w:ascii="Times New Roman" w:hAnsi="Times New Roman" w:cs="Times New Roman"/>
                <w:sz w:val="20"/>
                <w:szCs w:val="20"/>
              </w:rPr>
            </w:pPr>
          </w:p>
        </w:tc>
      </w:tr>
      <w:tr w:rsidR="00B3074D" w:rsidRPr="0037707D" w14:paraId="2B47DDD3" w14:textId="77777777" w:rsidTr="00E0519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E0519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E0519A">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E0519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701BA2CD" w14:textId="77777777" w:rsidR="00B3074D" w:rsidRPr="0037707D" w:rsidRDefault="00B3074D" w:rsidP="00E0519A">
            <w:pPr>
              <w:rPr>
                <w:rFonts w:ascii="Times New Roman" w:hAnsi="Times New Roman" w:cs="Times New Roman"/>
                <w:color w:val="000000"/>
                <w:sz w:val="18"/>
                <w:szCs w:val="18"/>
              </w:rPr>
            </w:pPr>
          </w:p>
        </w:tc>
      </w:tr>
      <w:tr w:rsidR="00B3074D" w:rsidRPr="0037707D" w14:paraId="56C42EB6" w14:textId="77777777" w:rsidTr="00E0519A">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E0519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8D88DC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E0519A">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2" w:type="dxa"/>
            <w:tcBorders>
              <w:top w:val="nil"/>
              <w:left w:val="nil"/>
              <w:bottom w:val="nil"/>
              <w:right w:val="nil"/>
            </w:tcBorders>
            <w:shd w:val="clear" w:color="auto" w:fill="auto"/>
            <w:noWrap/>
            <w:vAlign w:val="center"/>
            <w:hideMark/>
          </w:tcPr>
          <w:p w14:paraId="245CB39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E0519A">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2" w:type="dxa"/>
            <w:tcBorders>
              <w:top w:val="nil"/>
              <w:left w:val="nil"/>
              <w:bottom w:val="nil"/>
              <w:right w:val="nil"/>
            </w:tcBorders>
            <w:shd w:val="clear" w:color="auto" w:fill="auto"/>
            <w:noWrap/>
            <w:vAlign w:val="center"/>
            <w:hideMark/>
          </w:tcPr>
          <w:p w14:paraId="6D09C4D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E0519A">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2" w:type="dxa"/>
            <w:tcBorders>
              <w:top w:val="nil"/>
              <w:left w:val="nil"/>
              <w:bottom w:val="nil"/>
              <w:right w:val="nil"/>
            </w:tcBorders>
            <w:shd w:val="clear" w:color="auto" w:fill="auto"/>
            <w:noWrap/>
            <w:vAlign w:val="center"/>
            <w:hideMark/>
          </w:tcPr>
          <w:p w14:paraId="2C06A2F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E0519A">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2" w:type="dxa"/>
            <w:tcBorders>
              <w:top w:val="nil"/>
              <w:left w:val="nil"/>
              <w:bottom w:val="nil"/>
              <w:right w:val="nil"/>
            </w:tcBorders>
            <w:shd w:val="clear" w:color="auto" w:fill="auto"/>
            <w:noWrap/>
            <w:vAlign w:val="center"/>
            <w:hideMark/>
          </w:tcPr>
          <w:p w14:paraId="3ECBE64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E0519A">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2" w:type="dxa"/>
            <w:tcBorders>
              <w:top w:val="nil"/>
              <w:left w:val="nil"/>
              <w:bottom w:val="nil"/>
              <w:right w:val="nil"/>
            </w:tcBorders>
            <w:shd w:val="clear" w:color="auto" w:fill="auto"/>
            <w:noWrap/>
            <w:vAlign w:val="center"/>
            <w:hideMark/>
          </w:tcPr>
          <w:p w14:paraId="38E166E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E0519A">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2" w:type="dxa"/>
            <w:tcBorders>
              <w:top w:val="nil"/>
              <w:left w:val="nil"/>
              <w:bottom w:val="nil"/>
              <w:right w:val="nil"/>
            </w:tcBorders>
            <w:shd w:val="clear" w:color="auto" w:fill="auto"/>
            <w:noWrap/>
            <w:vAlign w:val="center"/>
            <w:hideMark/>
          </w:tcPr>
          <w:p w14:paraId="4563BCD0"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E0519A">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2811029" w14:textId="77777777" w:rsidR="00B3074D" w:rsidRPr="0037707D" w:rsidRDefault="00B3074D" w:rsidP="00E0519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E0519A">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2" w:type="dxa"/>
            <w:tcBorders>
              <w:top w:val="nil"/>
              <w:left w:val="nil"/>
              <w:bottom w:val="nil"/>
              <w:right w:val="nil"/>
            </w:tcBorders>
            <w:shd w:val="clear" w:color="auto" w:fill="auto"/>
            <w:noWrap/>
            <w:vAlign w:val="center"/>
            <w:hideMark/>
          </w:tcPr>
          <w:p w14:paraId="7026D997"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E0519A">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2" w:type="dxa"/>
            <w:tcBorders>
              <w:top w:val="nil"/>
              <w:left w:val="nil"/>
              <w:bottom w:val="nil"/>
              <w:right w:val="nil"/>
            </w:tcBorders>
            <w:shd w:val="clear" w:color="auto" w:fill="auto"/>
            <w:noWrap/>
            <w:vAlign w:val="center"/>
            <w:hideMark/>
          </w:tcPr>
          <w:p w14:paraId="054742B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E0519A">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2" w:type="dxa"/>
            <w:tcBorders>
              <w:top w:val="nil"/>
              <w:left w:val="nil"/>
              <w:bottom w:val="nil"/>
              <w:right w:val="nil"/>
            </w:tcBorders>
            <w:shd w:val="clear" w:color="auto" w:fill="auto"/>
            <w:noWrap/>
            <w:vAlign w:val="center"/>
          </w:tcPr>
          <w:p w14:paraId="19070656" w14:textId="77777777" w:rsidR="00B3074D" w:rsidRPr="0037707D" w:rsidRDefault="00B3074D" w:rsidP="00E0519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1186C30D" w14:textId="77777777" w:rsidR="00B3074D" w:rsidRPr="0037707D" w:rsidRDefault="00B3074D" w:rsidP="00B3074D">
      <w:pPr>
        <w:pStyle w:val="headingdissertation"/>
      </w:pPr>
      <w:bookmarkStart w:id="10" w:name="_Toc71026838"/>
      <w:r w:rsidRPr="0037707D">
        <w:lastRenderedPageBreak/>
        <w:t>Figures</w:t>
      </w:r>
      <w:bookmarkEnd w:id="10"/>
      <w:r w:rsidRPr="0037707D">
        <w:t xml:space="preserve"> </w:t>
      </w:r>
    </w:p>
    <w:p w14:paraId="79F5833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5AB6D4DA"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1. Soil nitrate concentration by treatment across sampling times. </w:t>
      </w:r>
      <w:r w:rsidRPr="0037707D">
        <w:rPr>
          <w:rFonts w:ascii="Calibri" w:hAnsi="Calibri" w:cs="Calibri"/>
          <w:color w:val="000000" w:themeColor="text1"/>
        </w:rPr>
        <w:t>﻿</w:t>
      </w:r>
      <w:r w:rsidRPr="0037707D">
        <w:rPr>
          <w:rFonts w:ascii="Times New Roman" w:hAnsi="Times New Roman" w:cs="Times New Roman"/>
          <w:color w:val="000000" w:themeColor="text1"/>
        </w:rPr>
        <w:t xml:space="preserve">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weed removal treatments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 No letters indicate lack of significant pairwise differences.</w:t>
      </w:r>
    </w:p>
    <w:p w14:paraId="3310985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1EB0559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5E0BF0EC" wp14:editId="0B2671C4">
            <wp:extent cx="5486400" cy="3201652"/>
            <wp:effectExtent l="0" t="0" r="0" b="0"/>
            <wp:docPr id="17" name="Content Placeholder 16" descr="Chart, waterfall chart, box and whisker chart&#10;&#10;Description automatically generated">
              <a:extLst xmlns:a="http://schemas.openxmlformats.org/drawingml/2006/main">
                <a:ext uri="{FF2B5EF4-FFF2-40B4-BE49-F238E27FC236}">
                  <a16:creationId xmlns:a16="http://schemas.microsoft.com/office/drawing/2014/main" id="{619F7B50-01F3-5A43-B375-283C646FF2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619F7B50-01F3-5A43-B375-283C646FF27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95954" cy="3207227"/>
                    </a:xfrm>
                    <a:prstGeom prst="rect">
                      <a:avLst/>
                    </a:prstGeom>
                  </pic:spPr>
                </pic:pic>
              </a:graphicData>
            </a:graphic>
          </wp:inline>
        </w:drawing>
      </w:r>
    </w:p>
    <w:p w14:paraId="6DCF2BA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3FC9DA24" w14:textId="77777777" w:rsidR="00B3074D" w:rsidRPr="0037707D" w:rsidRDefault="00B3074D" w:rsidP="00B3074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3DC26D5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lastRenderedPageBreak/>
        <w:t xml:space="preserve">Figure 2. Non-metric multi-dimensional scaling (NMDS) of total enzymatic profiles. Treatment type was not a significant predictor as per Adonis testing at any of the three time points. Each panel represents samples collected from a single time point, time one (a), time two (b), and time three (c). Ellipses represent the 95% confidence interval for the mean of each treatment. Points represent individual soil samples and are colored by treatment type. </w:t>
      </w:r>
    </w:p>
    <w:p w14:paraId="66E8BF4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5CE7327C" wp14:editId="2C88A76C">
            <wp:extent cx="6587381" cy="4287753"/>
            <wp:effectExtent l="0" t="0" r="4445" b="5080"/>
            <wp:docPr id="11" name="Content Placeholder 4" descr="Diagram&#10;&#10;Description automatically generated">
              <a:extLst xmlns:a="http://schemas.openxmlformats.org/drawingml/2006/main">
                <a:ext uri="{FF2B5EF4-FFF2-40B4-BE49-F238E27FC236}">
                  <a16:creationId xmlns:a16="http://schemas.microsoft.com/office/drawing/2014/main" id="{907A9263-57BA-404D-80E9-21CC89F79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7A9263-57BA-404D-80E9-21CC89F79F1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7381" cy="4287753"/>
                    </a:xfrm>
                    <a:prstGeom prst="rect">
                      <a:avLst/>
                    </a:prstGeom>
                  </pic:spPr>
                </pic:pic>
              </a:graphicData>
            </a:graphic>
          </wp:inline>
        </w:drawing>
      </w:r>
      <w:r w:rsidRPr="0037707D" w:rsidDel="00275ED7">
        <w:rPr>
          <w:rFonts w:ascii="Times New Roman" w:hAnsi="Times New Roman" w:cs="Times New Roman"/>
          <w:color w:val="000000" w:themeColor="text1"/>
        </w:rPr>
        <w:t xml:space="preserve"> </w:t>
      </w:r>
    </w:p>
    <w:p w14:paraId="09FDD9A3"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6A92FE74"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br w:type="page"/>
      </w:r>
      <w:r w:rsidRPr="0037707D">
        <w:rPr>
          <w:rFonts w:ascii="Times New Roman" w:hAnsi="Times New Roman" w:cs="Times New Roman"/>
          <w:color w:val="000000" w:themeColor="text1"/>
        </w:rPr>
        <w:lastRenderedPageBreak/>
        <w:t xml:space="preserve">Figure 3. a) Phosphatase (PHOS), b) ß-glucosidase (BG),  and c) leucine aminopeptidase (LAP) activity by treatment across sampling times. </w:t>
      </w:r>
      <w:r w:rsidRPr="0037707D">
        <w:rPr>
          <w:rFonts w:ascii="Calibri" w:hAnsi="Calibri" w:cs="Calibri"/>
          <w:color w:val="000000" w:themeColor="text1"/>
        </w:rPr>
        <w:t>﻿</w:t>
      </w:r>
      <w:r w:rsidRPr="0037707D">
        <w:rPr>
          <w:rFonts w:ascii="Times New Roman" w:hAnsi="Times New Roman" w:cs="Times New Roman"/>
          <w:color w:val="000000" w:themeColor="text1"/>
        </w:rPr>
        <w:t xml:space="preserve">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weed removal treatments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 No letters indicate lack of significant pairwise differences.</w:t>
      </w:r>
    </w:p>
    <w:p w14:paraId="2438A9D8"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118BB50D" wp14:editId="37AD6CE5">
            <wp:extent cx="6366656" cy="5298831"/>
            <wp:effectExtent l="0" t="0" r="0" b="0"/>
            <wp:docPr id="13" name="Content Placeholder 4" descr="Chart&#10;&#10;Description automatically generated">
              <a:extLst xmlns:a="http://schemas.openxmlformats.org/drawingml/2006/main">
                <a:ext uri="{FF2B5EF4-FFF2-40B4-BE49-F238E27FC236}">
                  <a16:creationId xmlns:a16="http://schemas.microsoft.com/office/drawing/2014/main" id="{4E890E72-9A98-0645-BCC4-DD0561AFDA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890E72-9A98-0645-BCC4-DD0561AFDAE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69524" cy="5301218"/>
                    </a:xfrm>
                    <a:prstGeom prst="rect">
                      <a:avLst/>
                    </a:prstGeom>
                  </pic:spPr>
                </pic:pic>
              </a:graphicData>
            </a:graphic>
          </wp:inline>
        </w:drawing>
      </w:r>
    </w:p>
    <w:p w14:paraId="2CD8870E"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09C1F7C9" w14:textId="77777777" w:rsidR="00B3074D" w:rsidRPr="0037707D" w:rsidRDefault="00B3074D" w:rsidP="00B3074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714B895F" w14:textId="77777777" w:rsidR="00B3074D" w:rsidRPr="0037707D" w:rsidRDefault="00B3074D" w:rsidP="00B3074D">
      <w:pPr>
        <w:rPr>
          <w:rFonts w:ascii="Times New Roman" w:hAnsi="Times New Roman" w:cs="Times New Roman"/>
          <w:color w:val="000000" w:themeColor="text1"/>
        </w:rPr>
      </w:pPr>
    </w:p>
    <w:p w14:paraId="79E1F9EB"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4. Enzyme activities of the a) handweeded and b) Roundup Powermax treatment plots over three sampling times. Enzyme activities were significant as per global models for AG, BG, BX, PHOS, and the ratio of C:N cycling enzymes for the handweeded plots. Only PHOS activity was significant in the Roundup Powermax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6D3DA8AD"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13375760" wp14:editId="4D1FAA9B">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3"/>
                    <a:stretch>
                      <a:fillRect/>
                    </a:stretch>
                  </pic:blipFill>
                  <pic:spPr>
                    <a:xfrm>
                      <a:off x="0" y="0"/>
                      <a:ext cx="6016639" cy="5584306"/>
                    </a:xfrm>
                    <a:prstGeom prst="rect">
                      <a:avLst/>
                    </a:prstGeom>
                  </pic:spPr>
                </pic:pic>
              </a:graphicData>
            </a:graphic>
          </wp:inline>
        </w:drawing>
      </w:r>
    </w:p>
    <w:p w14:paraId="717CDBDF" w14:textId="77777777" w:rsidR="00B3074D" w:rsidRPr="0037707D" w:rsidRDefault="00B3074D" w:rsidP="00B3074D">
      <w:pPr>
        <w:spacing w:line="480" w:lineRule="auto"/>
        <w:rPr>
          <w:rFonts w:ascii="Times New Roman" w:hAnsi="Times New Roman" w:cs="Times New Roman"/>
          <w:color w:val="000000" w:themeColor="text1"/>
        </w:rPr>
      </w:pPr>
    </w:p>
    <w:p w14:paraId="46AF971E" w14:textId="77777777" w:rsidR="00B3074D" w:rsidRPr="00B3074D" w:rsidRDefault="00B3074D" w:rsidP="00B3074D">
      <w:pPr>
        <w:spacing w:line="480" w:lineRule="auto"/>
        <w:rPr>
          <w:rFonts w:ascii="Times New Roman" w:hAnsi="Times New Roman" w:cs="Times New Roman"/>
        </w:rPr>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ordon Fritz Custer" w:date="2021-05-07T09:32:00Z" w:initials="GFC">
    <w:p w14:paraId="44F95C84" w14:textId="74C3CEA9" w:rsidR="00B3074D" w:rsidRDefault="00B3074D">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F95C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790" w16cex:dateUtc="2021-05-07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F95C84" w16cid:durableId="243F87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6"/>
  </w:num>
  <w:num w:numId="8">
    <w:abstractNumId w:val="28"/>
  </w:num>
  <w:num w:numId="9">
    <w:abstractNumId w:val="10"/>
  </w:num>
  <w:num w:numId="10">
    <w:abstractNumId w:val="27"/>
  </w:num>
  <w:num w:numId="11">
    <w:abstractNumId w:val="29"/>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3D1C5E"/>
    <w:rsid w:val="00AE3027"/>
    <w:rsid w:val="00B3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9931-EB25-7344-AF68-368AB430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37987</Words>
  <Characters>216526</Characters>
  <Application>Microsoft Office Word</Application>
  <DocSecurity>0</DocSecurity>
  <Lines>1804</Lines>
  <Paragraphs>508</Paragraphs>
  <ScaleCrop>false</ScaleCrop>
  <Company/>
  <LinksUpToDate>false</LinksUpToDate>
  <CharactersWithSpaces>254005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1</cp:revision>
  <dcterms:created xsi:type="dcterms:W3CDTF">2021-05-07T15:26:00Z</dcterms:created>
  <dcterms:modified xsi:type="dcterms:W3CDTF">2021-05-07T15:36:00Z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http://www.zotero.org/styles/asa-cssa-sssa</vt:lpwstr>
  </property>
  <property fmtid="{D5CDD505-2E9C-101B-9397-08002B2CF9AE}" pid="5" name="Mendeley Recent Style Name 1_1">
    <vt:lpwstr>American Society of Agronomy, Crop Science Society of America, Soil Science Society of America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http://www.zotero.org/styles/journal-of-molecular-biology</vt:lpwstr>
  </property>
  <property fmtid="{D5CDD505-2E9C-101B-9397-08002B2CF9AE}" pid="15" name="Mendeley Recent Style Name 6_1">
    <vt:lpwstr>Journal of Molecular Biology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ies>
</file>