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20B85" w14:textId="3AF10D1F" w:rsidR="00B3074D" w:rsidRPr="00B3074D" w:rsidRDefault="00B3074D" w:rsidP="00B3074D">
      <w:pPr>
        <w:pStyle w:val="headingdissertation"/>
        <w:spacing w:line="480" w:lineRule="auto"/>
      </w:pPr>
      <w:bookmarkStart w:id="0" w:name="_Toc71026832"/>
      <w:r w:rsidRPr="00B3074D">
        <w:t>Abstract</w:t>
      </w:r>
      <w:bookmarkEnd w:id="0"/>
      <w:r w:rsidRPr="00B3074D">
        <w:t xml:space="preserve"> </w:t>
      </w:r>
    </w:p>
    <w:p w14:paraId="1E20F0AB" w14:textId="13E2BD6C" w:rsidR="00B3074D" w:rsidRPr="00B3074D" w:rsidRDefault="00B3074D" w:rsidP="00D46E4B">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Patterns of herbicide use have changed dramatically over the past 25 years. While great consideration is often given to shifts in aboveground diversity, the belowground component of ecosystems has been largely neglected. Previous research has revealed a mixed response of edaphic parameters</w:t>
      </w:r>
      <w:r>
        <w:rPr>
          <w:rFonts w:ascii="Times New Roman" w:hAnsi="Times New Roman" w:cs="Times New Roman"/>
          <w:color w:val="000000" w:themeColor="text1"/>
        </w:rPr>
        <w:t xml:space="preserve">, microbial diversity and </w:t>
      </w:r>
      <w:r w:rsidRPr="00B3074D">
        <w:rPr>
          <w:rFonts w:ascii="Times New Roman" w:hAnsi="Times New Roman" w:cs="Times New Roman"/>
          <w:color w:val="000000" w:themeColor="text1"/>
        </w:rPr>
        <w:t xml:space="preserve">function to herbicide application and has spurred calls for further research </w:t>
      </w:r>
      <w:r>
        <w:rPr>
          <w:rFonts w:ascii="Times New Roman" w:hAnsi="Times New Roman" w:cs="Times New Roman"/>
          <w:color w:val="000000" w:themeColor="text1"/>
        </w:rPr>
        <w:t xml:space="preserve">as well as </w:t>
      </w:r>
      <w:r w:rsidRPr="00B3074D">
        <w:rPr>
          <w:rFonts w:ascii="Times New Roman" w:hAnsi="Times New Roman" w:cs="Times New Roman"/>
          <w:color w:val="000000" w:themeColor="text1"/>
        </w:rPr>
        <w:t xml:space="preserve">disentanglement of </w:t>
      </w:r>
      <w:r>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direct and indirect effects of herbicide application. With microbes</w:t>
      </w:r>
      <w:r>
        <w:rPr>
          <w:rFonts w:ascii="Times New Roman" w:hAnsi="Times New Roman" w:cs="Times New Roman"/>
          <w:color w:val="000000" w:themeColor="text1"/>
        </w:rPr>
        <w:t xml:space="preserve"> being</w:t>
      </w:r>
      <w:r w:rsidRPr="00B3074D">
        <w:rPr>
          <w:rFonts w:ascii="Times New Roman" w:hAnsi="Times New Roman" w:cs="Times New Roman"/>
          <w:color w:val="000000" w:themeColor="text1"/>
        </w:rPr>
        <w:t xml:space="preserve"> largely responsible for nutrient cycling and other pivotal ecosystem processes, understanding the direction and magnitude of</w:t>
      </w:r>
      <w:r>
        <w:rPr>
          <w:rFonts w:ascii="Times New Roman" w:hAnsi="Times New Roman" w:cs="Times New Roman"/>
          <w:color w:val="000000" w:themeColor="text1"/>
        </w:rPr>
        <w:t xml:space="preserve"> their</w:t>
      </w:r>
      <w:r w:rsidRPr="00B3074D">
        <w:rPr>
          <w:rFonts w:ascii="Times New Roman" w:hAnsi="Times New Roman" w:cs="Times New Roman"/>
          <w:color w:val="000000" w:themeColor="text1"/>
        </w:rPr>
        <w:t xml:space="preserve"> responses to vegetation removal in </w:t>
      </w:r>
      <w:proofErr w:type="spellStart"/>
      <w:r w:rsidRPr="00B3074D">
        <w:rPr>
          <w:rFonts w:ascii="Times New Roman" w:hAnsi="Times New Roman" w:cs="Times New Roman"/>
          <w:color w:val="000000" w:themeColor="text1"/>
        </w:rPr>
        <w:t>agro</w:t>
      </w:r>
      <w:proofErr w:type="spellEnd"/>
      <w:r w:rsidRPr="00B3074D">
        <w:rPr>
          <w:rFonts w:ascii="Times New Roman" w:hAnsi="Times New Roman" w:cs="Times New Roman"/>
          <w:color w:val="000000" w:themeColor="text1"/>
        </w:rPr>
        <w:t xml:space="preserve">-ecosystems is of the utmost concern. In this study, we compare three chemical herbicides, Roundup (glyphosate), Clarity (dicamba), and a tank mix of </w:t>
      </w:r>
      <w:proofErr w:type="spellStart"/>
      <w:r w:rsidRPr="00B3074D">
        <w:rPr>
          <w:rFonts w:ascii="Times New Roman" w:hAnsi="Times New Roman" w:cs="Times New Roman"/>
          <w:color w:val="000000" w:themeColor="text1"/>
        </w:rPr>
        <w:t>Aatrex</w:t>
      </w:r>
      <w:proofErr w:type="spellEnd"/>
      <w:r w:rsidRPr="00B3074D">
        <w:rPr>
          <w:rFonts w:ascii="Times New Roman" w:hAnsi="Times New Roman" w:cs="Times New Roman"/>
          <w:color w:val="000000" w:themeColor="text1"/>
        </w:rPr>
        <w:t xml:space="preserve"> and Calisto (atrazine and </w:t>
      </w:r>
      <w:proofErr w:type="spellStart"/>
      <w:r w:rsidRPr="00B3074D">
        <w:rPr>
          <w:rFonts w:ascii="Times New Roman" w:hAnsi="Times New Roman" w:cs="Times New Roman"/>
          <w:color w:val="000000" w:themeColor="text1"/>
        </w:rPr>
        <w:t>mesotrione</w:t>
      </w:r>
      <w:proofErr w:type="spellEnd"/>
      <w:r w:rsidRPr="00B3074D">
        <w:rPr>
          <w:rFonts w:ascii="Times New Roman" w:hAnsi="Times New Roman" w:cs="Times New Roman"/>
          <w:color w:val="000000" w:themeColor="text1"/>
        </w:rPr>
        <w:t>) to handweeded and nontreated control plots to understand how herbicide application may affect soil</w:t>
      </w:r>
      <w:r>
        <w:rPr>
          <w:rFonts w:ascii="Times New Roman" w:hAnsi="Times New Roman" w:cs="Times New Roman"/>
          <w:color w:val="000000" w:themeColor="text1"/>
        </w:rPr>
        <w:t xml:space="preserve"> diversity and</w:t>
      </w:r>
      <w:r w:rsidRPr="00B3074D">
        <w:rPr>
          <w:rFonts w:ascii="Times New Roman" w:hAnsi="Times New Roman" w:cs="Times New Roman"/>
          <w:color w:val="000000" w:themeColor="text1"/>
        </w:rPr>
        <w:t xml:space="preserve"> function over twenty days post-treatment in </w:t>
      </w:r>
      <w:proofErr w:type="spellStart"/>
      <w:r w:rsidRPr="00B3074D">
        <w:rPr>
          <w:rFonts w:ascii="Times New Roman" w:hAnsi="Times New Roman" w:cs="Times New Roman"/>
          <w:i/>
          <w:iCs/>
          <w:color w:val="000000" w:themeColor="text1"/>
        </w:rPr>
        <w:t>Zea</w:t>
      </w:r>
      <w:proofErr w:type="spellEnd"/>
      <w:r w:rsidRPr="00B3074D">
        <w:rPr>
          <w:rFonts w:ascii="Times New Roman" w:hAnsi="Times New Roman" w:cs="Times New Roman"/>
          <w:i/>
          <w:iCs/>
          <w:color w:val="000000" w:themeColor="text1"/>
        </w:rPr>
        <w:t xml:space="preserve"> mays</w:t>
      </w:r>
      <w:r w:rsidRPr="00B3074D">
        <w:rPr>
          <w:rFonts w:ascii="Times New Roman" w:hAnsi="Times New Roman" w:cs="Times New Roman"/>
          <w:color w:val="000000" w:themeColor="text1"/>
        </w:rPr>
        <w:t xml:space="preserve"> fields. </w:t>
      </w:r>
      <w:r w:rsidR="00D46E4B">
        <w:rPr>
          <w:rFonts w:ascii="Times New Roman" w:hAnsi="Times New Roman" w:cs="Times New Roman"/>
          <w:color w:val="000000" w:themeColor="text1"/>
        </w:rPr>
        <w:t xml:space="preserve">Our </w:t>
      </w:r>
      <w:r w:rsidRPr="00B3074D">
        <w:rPr>
          <w:rFonts w:ascii="Times New Roman" w:hAnsi="Times New Roman" w:cs="Times New Roman"/>
          <w:color w:val="000000" w:themeColor="text1"/>
        </w:rPr>
        <w:t>results show that the examined herbicides have limited and short-lasting effects on soil edaphic properties and microbial function measured by extracellular enzyme analysis.</w:t>
      </w:r>
      <w:r w:rsidR="00D46E4B">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Furthermore, weedy vegetation was shown to be a significant predictor of enzymatic activities</w:t>
      </w:r>
      <w:r w:rsidR="00C94667">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nutrient concentrations</w:t>
      </w:r>
      <w:r w:rsidR="00C94667">
        <w:rPr>
          <w:rFonts w:ascii="Times New Roman" w:hAnsi="Times New Roman" w:cs="Times New Roman"/>
          <w:color w:val="000000" w:themeColor="text1"/>
        </w:rPr>
        <w:t>, and fungal community structure</w:t>
      </w:r>
      <w:r w:rsidRPr="00B3074D">
        <w:rPr>
          <w:rFonts w:ascii="Times New Roman" w:hAnsi="Times New Roman" w:cs="Times New Roman"/>
          <w:color w:val="000000" w:themeColor="text1"/>
        </w:rPr>
        <w:t>, suggesting that the effects of herbicide application are instead mediated via indirect pathways.</w:t>
      </w:r>
      <w:r w:rsidR="00C94667">
        <w:rPr>
          <w:rFonts w:ascii="Times New Roman" w:hAnsi="Times New Roman" w:cs="Times New Roman"/>
          <w:color w:val="000000" w:themeColor="text1"/>
        </w:rPr>
        <w:t xml:space="preserve"> Additionally, we report weed removal treatment to be significant for bacterial assemblages and show a homogenization of the bacterial compartment following chemical treatment. </w:t>
      </w:r>
      <w:r w:rsidRPr="00B3074D">
        <w:rPr>
          <w:rFonts w:ascii="Times New Roman" w:hAnsi="Times New Roman" w:cs="Times New Roman"/>
          <w:color w:val="000000" w:themeColor="text1"/>
        </w:rPr>
        <w:t xml:space="preserve">With this, we suggest that the choice of herbicide in heavily managed </w:t>
      </w:r>
      <w:proofErr w:type="spellStart"/>
      <w:r w:rsidRPr="00B3074D">
        <w:rPr>
          <w:rFonts w:ascii="Times New Roman" w:hAnsi="Times New Roman" w:cs="Times New Roman"/>
          <w:color w:val="000000" w:themeColor="text1"/>
        </w:rPr>
        <w:t>agro</w:t>
      </w:r>
      <w:proofErr w:type="spellEnd"/>
      <w:r w:rsidRPr="00B3074D">
        <w:rPr>
          <w:rFonts w:ascii="Times New Roman" w:hAnsi="Times New Roman" w:cs="Times New Roman"/>
          <w:color w:val="000000" w:themeColor="text1"/>
        </w:rPr>
        <w:t xml:space="preserve">-ecosystems has little effect on ecosystem function. </w:t>
      </w:r>
    </w:p>
    <w:p w14:paraId="70BD93A1" w14:textId="77777777" w:rsidR="00B3074D" w:rsidRPr="00B3074D" w:rsidRDefault="00B3074D" w:rsidP="00B3074D">
      <w:pPr>
        <w:spacing w:line="480" w:lineRule="auto"/>
        <w:rPr>
          <w:rFonts w:ascii="Times New Roman" w:hAnsi="Times New Roman" w:cs="Times New Roman"/>
          <w:b/>
          <w:bCs/>
          <w:color w:val="000000" w:themeColor="text1"/>
        </w:rPr>
      </w:pPr>
      <w:r w:rsidRPr="00B3074D">
        <w:rPr>
          <w:rFonts w:ascii="Times New Roman" w:hAnsi="Times New Roman" w:cs="Times New Roman"/>
          <w:b/>
          <w:bCs/>
          <w:color w:val="000000" w:themeColor="text1"/>
        </w:rPr>
        <w:br w:type="page"/>
      </w:r>
    </w:p>
    <w:p w14:paraId="1FCC599B" w14:textId="16DC1FC9" w:rsidR="00B3074D" w:rsidRPr="00B3074D" w:rsidRDefault="00B3074D" w:rsidP="00B3074D">
      <w:pPr>
        <w:pStyle w:val="headingdissertation"/>
        <w:spacing w:line="480" w:lineRule="auto"/>
      </w:pPr>
      <w:bookmarkStart w:id="1" w:name="_Toc71026833"/>
      <w:r w:rsidRPr="00B3074D">
        <w:lastRenderedPageBreak/>
        <w:t>Introduction</w:t>
      </w:r>
      <w:bookmarkEnd w:id="1"/>
      <w:r w:rsidRPr="00B3074D">
        <w:t xml:space="preserve"> </w:t>
      </w:r>
    </w:p>
    <w:p w14:paraId="7D9660FA" w14:textId="22F7E952"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rPr>
        <w:t xml:space="preserve">In 1996, genetically modified herbicide resistant crops were introduced to the United States, prompting a shift in herbicide use patterns. Driven mainly by the use of glyphosate (commonly known as Roundup; </w:t>
      </w:r>
      <w:r w:rsidRPr="00B3074D">
        <w:rPr>
          <w:rFonts w:ascii="Calibri" w:hAnsi="Calibri" w:cs="Calibri"/>
          <w:color w:val="000000" w:themeColor="text1"/>
        </w:rPr>
        <w:t>﻿</w:t>
      </w:r>
      <w:r w:rsidRPr="00B3074D">
        <w:rPr>
          <w:rFonts w:ascii="Times New Roman" w:hAnsi="Times New Roman" w:cs="Times New Roman"/>
          <w:color w:val="000000" w:themeColor="text1"/>
        </w:rPr>
        <w:t>N-(</w:t>
      </w:r>
      <w:proofErr w:type="spellStart"/>
      <w:r w:rsidRPr="00B3074D">
        <w:rPr>
          <w:rFonts w:ascii="Times New Roman" w:hAnsi="Times New Roman" w:cs="Times New Roman"/>
          <w:color w:val="000000" w:themeColor="text1"/>
        </w:rPr>
        <w:t>phosphonomethyl</w:t>
      </w:r>
      <w:proofErr w:type="spellEnd"/>
      <w:r w:rsidRPr="00B3074D">
        <w:rPr>
          <w:rFonts w:ascii="Times New Roman" w:hAnsi="Times New Roman" w:cs="Times New Roman"/>
          <w:color w:val="000000" w:themeColor="text1"/>
        </w:rPr>
        <w:t xml:space="preserve">)glycine), herbicide application increased by 239 million kilograms from 1996 to 2011 in the United States alone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{"citationItems":[{"id":"ITEM-1","itemData":{"DOI":"10.1186/2190-4715-24-24","ISBN":"2190471524","ISSN":"21904707","PMID":"2718","abstract":"Genetically engineered, herbicide-resistant and insect-resistant crops have been remarkable commercial successes in the United States. Few independent studies have calculated their impacts on pesticide use per hectare or overall pesticide use, or taken into account the impact of rapidly spreading glyphosate-resistant weeds. A model was developed to quantify by crop and year the impacts of six major transgenic pest-management traits on pesticide use in the U.S. over the 16-year period, 1996–2011: herbicide-resistant corn, soybeans, and cotton; Bacillus thuringiensis (Bt) corn targeting the European corn borer; Bt corn for corn rootworms; and Bt cotton for Lepidopteron insects.","author":[{"dropping-particle":"","family":"Benbrook","given":"Charles M.","non-dropping-particle":"","parse-names":false,"suffix":""}],"container-title":"Environmental Sciences Europe","id":"ITEM-1","issue":"9","issued":{"date-parts":[["2012"]]},"page":"1-13","title":"Impacts of genetically engineered crops on pesticide use in the U.S.-the first sixteen years","type":"article-journal","volume":"24"},"uris":["http://www.mendeley.com/documents/?uuid=5563e962-4504-43c6-9838-85778cd67b1f"]}],"mendeley":{"formattedCitation":"(1)","plainTextFormattedCitation":"(1)","previouslyFormattedCitation":"(1)"},"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In the past, growers were concerned, and rightfully so, with a single parameter: crop yield. However, the birth of the soil health movement has prompted a new way of thinking about production agriculture with a newfound focus on long-term yield and a holo-ecosystem approach</w:t>
      </w:r>
      <w:r w:rsidR="002F4D3B">
        <w:rPr>
          <w:rFonts w:ascii="Times New Roman" w:hAnsi="Times New Roman" w:cs="Times New Roman"/>
          <w:color w:val="000000" w:themeColor="text1"/>
        </w:rPr>
        <w:t xml:space="preserve"> to farming</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shd w:val="clear" w:color="auto" w:fill="FFFFFF"/>
        </w:rPr>
        <w:t xml:space="preserve">With this new school of thought, researchers and producers alike are realizing the importance of understanding the effects that herbicide and other agricultural amendments might have on soil and the ecosystem services that it provides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id":"ITEM-2","itemData":{"DOI":"10.1016/j.agee.2013.10.010","ISSN":"01678809","author":[{"dropping-particle":"","family":"Palm","given":"Cheryl","non-dropping-particle":"","parse-names":false,"suffix":""},{"dropping-particle":"","family":"Blanco-Canqui","given":"Humberto","non-dropping-particle":"","parse-names":false,"suffix":""},{"dropping-particle":"","family":"DeClerck","given":"Fabrice","non-dropping-particle":"","parse-names":false,"suffix":""},{"dropping-particle":"","family":"Gatere","given":"Lydiah","non-dropping-particle":"","parse-names":false,"suffix":""},{"dropping-particle":"","family":"Grace","given":"Peter","non-dropping-particle":"","parse-names":false,"suffix":""}],"container-title":"Agriculture, Ecosystems &amp; Environment","id":"ITEM-2","issued":{"date-parts":[["2014","4"]]},"page":"87-105","title":"Conservation agriculture and ecosystem services: An overview","type":"article-journal","volume":"187"},"uris":["http://www.mendeley.com/documents/?uuid=fa86934d-c97d-4c22-bb76-e3a025f78f14"]}],"mendeley":{"formattedCitation":"(2, 3)","plainTextFormattedCitation":"(2, 3)","previouslyFormattedCitation":"(2, 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(2, 3)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p>
    <w:p w14:paraId="0D135694" w14:textId="762D5A33" w:rsidR="00B3074D" w:rsidRPr="00B3074D" w:rsidRDefault="00B3074D" w:rsidP="00B3074D">
      <w:pPr>
        <w:spacing w:line="480" w:lineRule="auto"/>
        <w:rPr>
          <w:rFonts w:ascii="Times New Roman" w:hAnsi="Times New Roman" w:cs="Times New Roman"/>
          <w:color w:val="000000" w:themeColor="text1"/>
        </w:rPr>
      </w:pPr>
      <w:r w:rsidRPr="00B3074D">
        <w:rPr>
          <w:rFonts w:ascii="Times New Roman" w:hAnsi="Times New Roman" w:cs="Times New Roman"/>
          <w:color w:val="000000" w:themeColor="text1"/>
        </w:rPr>
        <w:tab/>
        <w:t xml:space="preserve"> While commonly applied to control unwanted weedy plant populations, herbicides may also affect microbial community structure and function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soils","type":"article-journal","volume":"8"},"uris":["http://www.mendeley.com/documents/?uuid=0f0b667c-d53f-47b6-aaf4-96a288e8b190"]},{"id":"ITEM-2","itemData":{"DOI":"10.1016/j.soilbio.2015.09.014","ISBN":"00380717","ISSN":"00380717","abstract":"The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Biochemistry","id":"ITEM-2","issued":{"date-parts":[["2016"]]},"page":"50-57","publisher":"Elsevier Ltd","title":"Impact of glyphosate on soil microbial biomass and respiration: A meta-analysis","type":"article-journal","volume":"92"},"uris":["http://www.mendeley.com/documents/?uuid=a6e2c827-3414-4c11-9d5c-18ab0cdbd710"]},{"id":"ITEM-3","itemData":{"DOI":"10.1016/bs.agron.2015.11.005","ISBN":"9780128046814","ISSN":"00652113","abstract":"There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Agronomy","id":"ITEM-3","issued":{"date-parts":[["2016"]]},"number-of-pages":"133-220","publisher":"Elsevier Inc.","title":"Impact of Herbicides on Soil Biology and Function","type":"book","volume":"136"},"uris":["http://www.mendeley.com/documents/?uuid=ac62daf4-810b-4a1f-ac72-9f2d93b21b0b"]},{"id":"ITEM-4","itemData":{"DOI":"10.1016/j.apsoil.2016.05.005","ISSN":"09291393","abstract":"Pesticides and organic amendments are widely used in agricultural soils, the former for pest control and to improve crop yield, and the latter to maintain soil quality and to mitigate pesticide leaching. Both amendments and pesticides can affect soil microbial communities, which may impact crop fitness. Therefore, the objective of the current study was to investigate the changes that occur to soil microbial communities following use of the low-cost organic residue spent mushroom substrate (SMS) (2% and 5% on a dry weight basis) as an amendment to an agricultural soil in combination with the widely used pesticides azoxystrobin or pirimicarb (at 2 and 25 mg kg-1rates). Dissipation experiments showed that azoxystrobin was more persistent than pirimicarb over the incubation time (90 days). The half-life (DT50) values of azoxystrobin (2 mg kg-1) and pirimicarb (2 and 25 mg kg-1) decreased, while DT50values of azoxystrobin (25 mg kg-1) increased when SMS was applied to soil. Broad-scale methods such as soil dehydrogenase activity (DHA) and soil respiration showed that SMS rate, pesticide dose and incubation time all affected microbial community metabolism. DHA increased in SMS-amended soils and increased (azoxystrobin) or decreased (pirimicarb) over incubation time. Respiration increased in the soils when the concentration of the pesticide increased and decreased with increasing incubation time. Illumina MiSeq analysis of 18S rRNA genes demonstrated a strong effect of the SMS and incubation time, but not the pesticides, on micro-eukaryote community composition.","author":[{"dropping-particle":"","family":"Álvarez-Martín","given":"Alba","non-dropping-particle":"","parse-names":false,"suffix":""},{"dropping-particle":"","family":"Hilton","given":"Sally L.","non-dropping-particle":"","parse-names":false,"suffix":""},{"dropping-particle":"","family":"Bending","given":"Gary D.","non-dropping-particle":"","parse-names":false,"suffix":""},{"dropping-particle":"","family":"Rodríguez-Cruz","given":"M. Sonia","non-dropping-particle":"","parse-names":false,"suffix":""},{"dropping-particle":"","family":"Sánchez-Martín","given":"M. Jesús","non-dropping-particle":"","parse-names":false,"suffix":""}],"container-title":"Applied Soil Ecology","id":"ITEM-4","issued":{"date-parts":[["2016"]]},"page":"47-57","title":"Changes in activity and structure of the soil microbial community after application of azoxystrobin or pirimicarb and an organic amendment to an agricultural soil","type":"article-journal","volume":"106"},"uris":["http://www.mendeley.com/documents/?uuid=22d51b4c-10d0-43eb-b7c1-8419b092cad8"]},{"id":"ITEM-5","itemData":{"author":[{"dropping-particle":"","family":"Liao","given":"Hanpeng","non-dropping-particle":"","parse-names":false,"suffix":""},{"dropping-particle":"","family":"Li","given":"Xi","non-dropping-particle":"","parse-names":false,"suffix":""},{"dropping-particle":"","family":"Yang","given":"Qiue","non-dropping-particle":"","parse-names":false,"suffix":""},{"dropping-particle":"","family":"Bai","given":"Yudan","non-dropping-particle":"","parse-names":false,"suffix":""},{"dropping-particle":"","family":"Cui","given":"Peng","non-dropping-particle":"","parse-names":false,"suffix":""},{"dropping-particle":"","family":"Wen","given":"Chang","non-dropping-particle":"","parse-names":false,"suffix":""},{"dropping-particle":"","family":"Liu","given":"Chen","non-dropping-particle":"","parse-names":false,"suffix":""},{"dropping-particle":"","family":"Chen","given":"Zhi","non-dropping-particle":"","parse-names":false,"suffix":""}],"id":"ITEM-5","issue":"434","issued":{"date-parts":[["2021"]]},"title":"Herbicide selection promotes antibiotic resistance in soil microbiomes","type":"article-journal"},"uris":["http://www.mendeley.com/documents/?uuid=c3f4c0df-370e-4f87-a946-b55c9f623037"]}],"mendeley":{"formattedCitation":"(2, 4–7)","plainTextFormattedCitation":"(2, 4–7)","previouslyFormattedCitation":"(2, 4–7)"},"properties":{"noteIndex":0},"schema":"https://github.com/citation-style-language/schema/raw/master/csl-citation.json"}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 4–7)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Microbes provide countless benefits in agricultural systems, including: plant growth promotion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{"citationItems":[{"id":"ITEM-1","itemData":{"DOI":"10.1590/S1415-475738420150053","ISSN":"16784685","abstract":"Plant-microbe interactions in the rhizosphere are the determinants of plant health, productivity and soil fertility. Plant growth-promoting bacteria (PGPB) are bacteria that can enhance plant growth and protect plants from disease and abiotic stresses through a wide variety of mechanisms; those that establish close associations with plants, such as the endophytes, could be more successful in plant growth promotion. Several important bacterial characteristics, such as biological nitrogen fixation, phosphate solubilization, ACC deaminase activity, and production of siderophores and phytohormones, can be assessed as plant growth promotion (PGP) traits. Bacterial inoculants can contribute to increase agronomic efficiency by reducing production costs and environmental pollution, once the use of chemical fertilizers can be reduced or eliminated if the inoculants are efficient. For bacterial inoculants to obtain success in improving plant growth and productivity, several processes involved can influence the efficiency of inoculation, as for example the exudation by plant roots, the bacterial colonization in the roots, and soil health. This review presents an overview of the importance of soil-plant-microbe interactions to the development of efficient inoculants, once PGPB are extensively studied microorganisms, representing a very diverse group of easily accessible beneficial bacteria.","author":[{"dropping-particle":"","family":"Souza","given":"Rocheli","non-dropping-particle":"de","parse-names":false,"suffix":""},{"dropping-particle":"","family":"Ambrosini","given":"Adriana","non-dropping-particle":"","parse-names":false,"suffix":""},{"dropping-particle":"","family":"Passaglia","given":"Luciane M.P.","non-dropping-particle":"","parse-names":false,"suffix":""}],"container-title":"Genetics and Molecular Biology","id":"ITEM-1","issue":"4","issued":{"date-parts":[["2015"]]},"page":"401-419","title":"Plant growth-promoting bacteria as inoculants in agricultural soils","type":"article-journal","volume":"38"},"uris":["http://www.mendeley.com/documents/?uuid=1a67b8c7-748a-4b0c-84f8-8e32fa8364e0"]}],"mendeley":{"formattedCitation":"(8)","plainTextFormattedCitation":"(8)","previouslyFormattedCitation":"(8)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pathogen suppression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cell.2018.10.020","ISSN":"00928674","author":[{"dropping-particle":"","family":"Durán","given":"Paloma","non-dropping-particle":"","parse-names":false,"suffix":""},{"dropping-particle":"","family":"Thiergart","given":"Thorsten","non-dropping-particle":"","parse-names":false,"suffix":""},{"dropping-particle":"","family":"Garrido-Oter","given":"Ruben","non-dropping-particle":"","parse-names":false,"suffix":""},{"dropping-particle":"","family":"Agler","given":"Matthew","non-dropping-particle":"","parse-names":false,"suffix":""},{"dropping-particle":"","family":"Kemen","given":"Eric","non-dropping-particle":"","parse-names":false,"suffix":""},{"dropping-particle":"","family":"Schulze-Lefert","given":"Paul","non-dropping-particle":"","parse-names":false,"suffix":""},{"dropping-particle":"","family":"Hacquard","given":"Stéphane","non-dropping-particle":"","parse-names":false,"suffix":""}],"container-title":"Cell","id":"ITEM-1","issue":"4","issued":{"date-parts":[["2018","11"]]},"page":"973-983","title":"Microbial Interkingdom Interactions in Roots Promote Arabidopsis Survival","type":"article-journal","volume":"175"},"uris":["http://www.mendeley.com/documents/?uuid=1d3e8aa5-e2e0-49b3-a9f9-99ad59edc54b"]}],"mendeley":{"formattedCitation":"(9)","plainTextFormattedCitation":"(9)","previouslyFormattedCitation":"(9)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nutrient cycling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S0038-0717(01)00207-3","ISSN":"00380717","author":[{"dropping-particle":"","family":"Chen","given":"C.R","non-dropping-particle":"","parse-names":false,"suffix":""},{"dropping-particle":"","family":"Condron","given":"L.M","non-dropping-particle":"","parse-names":false,"suffix":""},{"dropping-particle":"","family":"Davis","given":"M.R","non-dropping-particle":"","parse-names":false,"suffix":""},{"dropping-particle":"","family":"Sherlock","given":"R.R","non-dropping-particle":"","parse-names":false,"suffix":""}],"container-title":"Soil Biology and Biochemistry","id":"ITEM-1","issue":"4","issued":{"date-parts":[["2002","4"]]},"page":"487-499","title":"Phosphorus dynamics in the rhizosphere of perennial ryegrass (Lolium perenne L.) and radiata pine (Pinus radiata D. Don.)","type":"article-journal","volume":"34"},"uris":["http://www.mendeley.com/documents/?uuid=23aedf4b-f4cb-4370-afe7-d682e2403504"]},{"id":"ITEM-2","itemData":{"DOI":"10.1007/s11104-009-9895-2","ISSN":"0032-079X","author":[{"dropping-particle":"","family":"Richardson","given":"Alan E.","non-dropping-particle":"","parse-names":false,"suffix":""},{"dropping-particle":"","family":"Barea","given":"José-Miguel","non-dropping-particle":"","parse-names":false,"suffix":""},{"dropping-particle":"","family":"McNeill","given":"Ann M.","non-dropping-particle":"","parse-names":false,"suffix":""},{"dropping-particle":"","family":"Prigent-Combaret","given":"Claire","non-dropping-particle":"","parse-names":false,"suffix":""}],"container-title":"Plant and Soil","id":"ITEM-2","issue":"1-2","issued":{"date-parts":[["2009","8","27"]]},"page":"305-339","title":"Acquisition of phosphorus and nitrogen in the rhizosphere and plant growth promotion by microorganisms","type":"article-journal","volume":"321"},"uris":["http://www.mendeley.com/documents/?uuid=3ab98b64-da17-402d-94eb-2cb7e17a476e"]},{"id":"ITEM-3","itemData":{"DOI":"10.1104/pp.111.175448","ISSN":"0032-0889","author":[{"dropping-particle":"","family":"Richardson","given":"Alan E.","non-dropping-particle":"","parse-names":false,"suffix":""},{"dropping-particle":"","family":"Simpson","given":"Richard J.","non-dropping-particle":"","parse-names":false,"suffix":""}],"container-title":"Plant Physiology","id":"ITEM-3","issue":"3","issued":{"date-parts":[["2011","7"]]},"page":"989-996","title":"Soil Microorganisms Mediating Phosphorus Availability Update on Microbial Phosphorus","type":"article-journal","volume":"156"},"uris":["http://www.mendeley.com/documents/?uuid=eba420e6-c238-4edc-8750-6050e8803ca0"]},{"id":"ITEM-4","itemData":{"DOI":"10.3389/fmicb.2018.01516","ISSN":"1664-302X","abstract":"Plant rhizospheres encompass a dynamic zone of interactions between microorganisms and their respective plant hosts. For decades, researchers have worked to understand how these complex interactions influence different aspects of plant growth, development, and evolution. Studies of plant-microbial interactions in the root zone have typically focused on the effect of single microbial species or strains on a plant host. These studies, however, provide only a snapshot of the complex interactions that occur in the rhizosphere, leaving researchers with a limited understanding of how the complex microbiome influences the biology of the plant host. To better understand how rhizosphere interactions influence plant growth and development, novel frameworks and research methodologies could be implemented. In this perspective, we propose applying concepts in evolutionary biology to microbiome experiments for improved understanding of group-to-group and community-level microbial interactions influencing soil nutrient cycling. We also put forth simple experimental designs utilizing -omics techniques that can reveal important changes in the rhizosphere impacting the plant host. A greater focus on the components of complexity of the microbiome and how these impact plant host biology could yield more insight into previously unexplored aspects of host-microbe biology relevant to crop production and protection.","author":[{"dropping-particle":"","family":"Garcia","given":"Joshua","non-dropping-particle":"","parse-names":false,"suffix":""},{"dropping-particle":"","family":"Kao-Kniffin","given":"Jenny","non-dropping-particle":"","parse-names":false,"suffix":""}],"container-title":"Frontiers in Microbiology","id":"ITEM-4","issue":"JUL","issued":{"date-parts":[["2018","7","11"]]},"page":"1-7","title":"Microbial Group Dynamics in Plant Rhizospheres and Their Implications on Nutrient Cycling","type":"article-journal","volume":"9"},"uris":["http://www.mendeley.com/documents/?uuid=463be0c0-646b-40c5-8ea3-6d02af4cbd0a"]}],"mendeley":{"formattedCitation":"(10–13)","plainTextFormattedCitation":"(10–13)","previouslyFormattedCitation":"(10–13)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(10–13)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as well as aggregate formation and maintenance of soil structure, contributing an estimated $330 to $500 per ha/</w:t>
      </w:r>
      <w:proofErr w:type="spellStart"/>
      <w:r w:rsidRPr="00B3074D">
        <w:rPr>
          <w:rFonts w:ascii="Times New Roman" w:hAnsi="Times New Roman" w:cs="Times New Roman"/>
          <w:color w:val="000000" w:themeColor="text1"/>
        </w:rPr>
        <w:t>yr</w:t>
      </w:r>
      <w:proofErr w:type="spellEnd"/>
      <w:r w:rsidRPr="00B3074D">
        <w:rPr>
          <w:rFonts w:ascii="Times New Roman" w:hAnsi="Times New Roman" w:cs="Times New Roman"/>
          <w:color w:val="000000" w:themeColor="text1"/>
        </w:rPr>
        <w:t xml:space="preserve"> in ecosystem services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{"citationItems":[{"id":"ITEM-1","itemData":{"DOI":"10.1016/j.ecolecon.2007.05.007","ISBN":"0921-8009","ISSN":"09218009","abstract":"In the current work, a novel, experimental 'bottom-up' approach is used to quantify the economic value of ecosystem services (ES) associated with highly modified arable landscapes in Canterbury, New Zealand. First, the role of land management practices in the maintenance and enhancement of ES in agricultural land was investigated by quantifying the economic value of ES at the field level under organic and conventional arable systems. This quantification was based on an experimental approach in contrast with earlier value transfer methods. Total economic value of ES in organic fields ranged from US $1610 to US $19,420 ha- 1 yr- 1 and that of conventional fields from US $1270 to US $14,570 ha- 1 yr- 1. The non-market value of ES in organic fields ranged from US $460 to US $5240 ha- 1 yr- 1. The range of non-market values of ES in conventional fields was US $50 - 1240 ha- 1 yr- 1. There were significant differences between organic and conventional fields for the economic values of some ES. Next, this economic information was used to extrapolate and to calculate the total and non-market value of ES in Canterbury arable land. The total annual economic and non-market values of ES for the conventional arable area in Canterbury (125,000 ha) were US $332 million and US $71 million, respectively. If half the arable area under conventional farming shifted to organic practices, the total economic value of ES would be US $192 million and US $166 million annually for organic and conventional arable area, respectively. In this case, the non-market value of ES for the organic area was US $65 million and that of conventional area was US $35 million annually. This study demonstrated that arable farming provides a range of ES which can be measured using field experiments based on ecological principles by incorporating a 'bottom-up' approach. The work also showed that conventional New Zealand arable farming practices can severely reduce the financial contribution of some of these services in agriculture whereas organic agricultural practices enhance their economic value. © 2007 Elsevier B.V. All rights reserved.","author":[{"dropping-particle":"","family":"Sandhu","given":"Harpinder S.","non-dropping-particle":"","parse-names":false,"suffix":""},{"dropping-particle":"","family":"Wratten","given":"Stephen D.","non-dropping-particle":"","parse-names":false,"suffix":""},{"dropping-particle":"","family":"Cullen","given":"Ross","non-dropping-particle":"","parse-names":false,"suffix":""},{"dropping-particle":"","family":"Case","given":"Brad","non-dropping-particle":"","parse-names":false,"suffix":""}],"container-title":"Ecological Economics","id":"ITEM-1","issue":"4","issued":{"date-parts":[["2008"]]},"page":"835-848","title":"The future of farming: The value of ecosystem services in conventional and organic arable land. An experimental approach","type":"article-journal","volume":"64"},"uris":["http://www.mendeley.com/documents/?uuid=3e19e38f-56ff-4be3-ae11-80bc4f4f7186"]}],"mendeley":{"formattedCitation":"(14)","plainTextFormattedCitation":"(14)","previouslyFormattedCitation":"(14)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proofErr w:type="gramStart"/>
      <w:r w:rsidRPr="00B3074D">
        <w:rPr>
          <w:rFonts w:ascii="Times New Roman" w:hAnsi="Times New Roman" w:cs="Times New Roman"/>
          <w:color w:val="000000" w:themeColor="text1"/>
        </w:rPr>
        <w:t>Due to the fact that</w:t>
      </w:r>
      <w:proofErr w:type="gramEnd"/>
      <w:r w:rsidRPr="00B3074D">
        <w:rPr>
          <w:rFonts w:ascii="Times New Roman" w:hAnsi="Times New Roman" w:cs="Times New Roman"/>
          <w:color w:val="000000" w:themeColor="text1"/>
        </w:rPr>
        <w:t xml:space="preserve"> microbes are such important members of agroecosystems, understanding the multifaceted microbial response to herbicide application is necessary in order to optimize agricultural systems for yield and sustainability. Difficulties in elucidating the effects of herbicide application on microb</w:t>
      </w:r>
      <w:r w:rsidR="0075436A">
        <w:rPr>
          <w:rFonts w:ascii="Times New Roman" w:hAnsi="Times New Roman" w:cs="Times New Roman"/>
          <w:color w:val="000000" w:themeColor="text1"/>
        </w:rPr>
        <w:t>ial populations</w:t>
      </w:r>
      <w:r w:rsidRPr="00B3074D">
        <w:rPr>
          <w:rFonts w:ascii="Times New Roman" w:hAnsi="Times New Roman" w:cs="Times New Roman"/>
          <w:color w:val="000000" w:themeColor="text1"/>
        </w:rPr>
        <w:t xml:space="preserve"> ha</w:t>
      </w:r>
      <w:r w:rsidR="0075436A">
        <w:rPr>
          <w:rFonts w:ascii="Times New Roman" w:hAnsi="Times New Roman" w:cs="Times New Roman"/>
          <w:color w:val="000000" w:themeColor="text1"/>
        </w:rPr>
        <w:t>ve</w:t>
      </w:r>
      <w:r w:rsidRPr="00B3074D">
        <w:rPr>
          <w:rFonts w:ascii="Times New Roman" w:hAnsi="Times New Roman" w:cs="Times New Roman"/>
          <w:color w:val="000000" w:themeColor="text1"/>
        </w:rPr>
        <w:t xml:space="preserve"> been demonstrated in reviews of the topic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{"citationItems":[{"id":"ITEM-1","itemData":{"DOI":"10.1016/j.ejsobi.2011.11.010","ISBN":"1164-5563","ISSN":"11645563","abstract":"Extensive application of industrially-produced pesticides in agriculture has resulted in contamination of soil ecosystems. A variety of both cultivation-dependent and cultivation-independent methods can be applied to measure and interpret the effects of pesticide exposure. We review here the expanding panel of these methods in the specific context of responses of the soil bacterial microflora to pesticide exposure, and of ongoing advances in microbial molecular ecology, including metagenomics and new approaches for DNA sequencing. Several issues still need to be addressed in order to routinely evaluate the effect of pesticides on bacterial communities in soil in the future, and to make way for a widely accepted framework for risk assessment in agro-ecosystems that include bacterial indicators. © 2011 Elsevier Masson SAS.","author":[{"dropping-particle":"","family":"Imfeld","given":"Gwenaël","non-dropping-particle":"","parse-names":false,"suffix":""},{"dropping-particle":"","family":"Vuilleumier","given":"Stéphane","non-dropping-particle":"","parse-names":false,"suffix":""}],"container-title":"European Journal of Soil Biology","id":"ITEM-1","issued":{"date-parts":[["2012"]]},"page":"22-30","publisher":"Elsevier Masson SAS","title":"Measuring the effects of pesticides on bacterial communities in soil: A critical review","type":"article-journal","volume":"49"},"uris":["http://www.mendeley.com/documents/?uuid=268e01ee-2796-495d-9205-11bb5be45f98"]},{"id":"ITEM-2","itemData":{"DOI":"10.1071/SR05125","ISBN":"0004-9573","ISSN":"00049573","PMID":"696","abstract":"External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Research","id":"ITEM-2","issue":"4","issued":{"date-parts":[["2006"]]},"page":"379-406","title":"Impact of agricultural inputs on soil organisms - A review","type":"article-journal","volume":"44"},"uris":["http://www.mendeley.com/documents/?uuid=912753b6-4e3e-4c96-a9fa-4a7092330579"]},{"id":"ITEM-3","itemData":{"DOI":"10.1016/j.soilbio.2015.09.014","ISBN":"00380717","ISSN":"00380717","abstract":"The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Biochemistry","id":"ITEM-3","issued":{"date-parts":[["2016"]]},"page":"50-57","publisher":"Elsevier Ltd","title":"Impact of glyphosate on soil microbial biomass and respiration: A meta-analysis","type":"article-journal","volume":"92"},"uris":["http://www.mendeley.com/documents/?uuid=a6e2c827-3414-4c11-9d5c-18ab0cdbd710"]},{"id":"ITEM-4","itemData":{"DOI":"10.2903/sp.efsa.2012.en-359","ISSN":"23978325","abstract":"A systematic literature search was carried out in order to assess the response of microbial organisms to pesticides in aquatic and terrestrial environments. The major literature databases have been interrogated, and after a refinement of keywords, thousands of records were retrieved and manually screened for relevance, quality, publication date, language and suitability for quantitative metaanalyses. 234 records for the terrestrial lot and 42 records for the aquatic lot were retained after screening and analysed for the extraction of several relevant information regarding the type of study, the pesticide application dose, the microbial parameters measured. From each record, a number of case studies were extracted, a case study being represented by the measurement of a single product, at a specific dose on a specific microbiological endpoint. A high number of case studies (3405 for terrestrial and 458 for aquatic) were obtained, stored and analysed through an Access database query system. With such a query system, it was possible to show on a detailed semi-quantitative way that pesticides affect microbes in a number of ways, with significant reductions in microbiological endpoints of biomass and activity detected in less than half of the cases considered. Furthermore, a number of temporary effects were identified, with microbial endpoints being firstly affected and then restored to the original conditions. This report confirms on one hand the complexity of microbial parameters in terrestrial and aquatic environments, on the other the importance of considering carefully microbial features in the risk assessment of pesticides. In this context, the adoption of a macro-categorization of microbial responses (biomass, activity and structure) can be useful for handling complex data and to identify patterns that can be potentially used for the goal of protecting microorganisms from potential adverse effects of pesticides. Carrying out risk assessment for nontarget microbes on single molecules, as usually done for the risk assessment of pesticides, will be very important in order to identify which ones are eventually causing more detrimental effects. The literature survey also indicated that the pesticide applied dose strongly affect the outcomes, with less impacts when the pesticides are being applied at recommended field doses: it is thus recommended to further promote policies for use of pesticides according to good agricultural practices, since this can reduc…","author":[{"dropping-particle":"","family":"Puglisi","given":"Edoardo","non-dropping-particle":"","parse-names":false,"suffix":""}],"container-title":"EFSA Supporting Publications","id":"ITEM-4","issue":"11","issued":{"date-parts":[["2017"]]},"title":"Response of microbial organisms (aquatic and terrestrial) to pesticides","type":"article-journal","volume":"9"},"uris":["http://www.mendeley.com/documents/?uuid=03b764ae-ed20-47fa-8210-4a3a9d269f19"]},{"id":"ITEM-5","itemData":{"DOI":"10.1016/j.scitotenv.2019.05.230","ISSN":"18791026","PMID":"31153078","abstract":"Conventional agriculture still relies on the general use of agrochemicals (herbicides, fungicides and insecticides)to control various pests (weeds, fungal pathogens and insects), to ensure the yield of crop and to feed a constantly growing population. The generalized use of pesticides in agriculture leads to the contamination of soil and other connected environmental resources. The persistence of pesticide residues in soil is identified as a major threat for in-soil living organisms that are supporting an important number of ecosystem services. Although authorities released pesticides on the market only after their careful and thorough evaluation, the risk assessment for in-soil living organisms is unsatisfactory, particularly for microorganisms for which pesticide toxicity is solely considered by one global test measuring N mineralization. Recently, European Food Safety Authority (EFSA)underlined the lack of standardized methods to assess pesticide ecotoxicological effects on soil microorganisms. Within this context, there is an obvious need to develop innovative microbial markers sensitive to pesticide exposure. Biomarkers that reveal direct effects of pesticides on microorganisms are often viewed as the panacea. Such biomarkers can only be developed for pesticides having a mode of action inhibiting a specific enzyme not only found in the targeted organisms but also in microorganisms which are considered as “non-target organisms” by current regulations. This review explores possible ways of innovation to develop such biomarkers for herbicides. We scanned the herbicide classification by considering the mode of action, the targeted enzyme and the ecotoxicological effects of each class of active substance in order to identify those that can be tracked using sensitive microbial markers.","author":[{"dropping-particle":"","family":"Thiour-Mauprivez","given":"Clémence","non-dropping-particle":"","parse-names":false,"suffix":""},{"dropping-particle":"","family":"Martin-Laurent","given":"Fabrice","non-dropping-particle":"","parse-names":false,"suffix":""},{"dropping-particle":"","family":"Calvayrac","given":"Christophe","non-dropping-particle":"","parse-names":false,"suffix":""},{"dropping-particle":"","family":"Barthelmebs","given":"Lise","non-dropping-particle":"","parse-names":false,"suffix":""}],"container-title":"Science of the Total Environment","id":"ITEM-5","issued":{"date-parts":[["2019"]]},"page":"314-325","publisher":"Elsevier B.V.","title":"Effects of herbicide on non-target microorganisms: Towards a new class of biomarkers?","type":"article-journal","volume":"684"},"uris":["http://www.mendeley.com/documents/?uuid=30c9144b-bbc6-44e9-b071-fcdc022bdb87"]}],"mendeley":{"formattedCitation":"(5, 15–18)","plainTextFormattedCitation":"(5, 15–18)","previouslyFormattedCitation":"(5, 15–18)"},"properties":{"noteIndex":0},"schema":"https://github.com/citation-style-language/schema/raw/master/csl-citation.json"}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(5, 15–18)</w:t>
      </w:r>
      <w:r w:rsidRPr="00B3074D">
        <w:rPr>
          <w:rFonts w:ascii="Times New Roman" w:hAnsi="Times New Roman" w:cs="Times New Roman"/>
          <w:color w:val="000000" w:themeColor="text1"/>
        </w:rPr>
        <w:fldChar w:fldCharType="end"/>
      </w:r>
      <w:r w:rsidR="002F4D3B">
        <w:rPr>
          <w:rFonts w:ascii="Times New Roman" w:hAnsi="Times New Roman" w:cs="Times New Roman"/>
          <w:color w:val="000000" w:themeColor="text1"/>
        </w:rPr>
        <w:t>.</w:t>
      </w:r>
      <w:r w:rsidRPr="00B3074D">
        <w:rPr>
          <w:rFonts w:ascii="Times New Roman" w:hAnsi="Times New Roman" w:cs="Times New Roman"/>
          <w:color w:val="000000" w:themeColor="text1"/>
        </w:rPr>
        <w:t xml:space="preserve"> </w:t>
      </w:r>
      <w:r w:rsidR="002F4D3B">
        <w:rPr>
          <w:rFonts w:ascii="Times New Roman" w:hAnsi="Times New Roman" w:cs="Times New Roman"/>
          <w:color w:val="000000" w:themeColor="text1"/>
        </w:rPr>
        <w:t>T</w:t>
      </w:r>
      <w:r w:rsidR="0075436A">
        <w:rPr>
          <w:rFonts w:ascii="Times New Roman" w:hAnsi="Times New Roman" w:cs="Times New Roman"/>
          <w:color w:val="000000" w:themeColor="text1"/>
        </w:rPr>
        <w:t xml:space="preserve">his </w:t>
      </w:r>
      <w:r w:rsidRPr="00B3074D">
        <w:rPr>
          <w:rFonts w:ascii="Times New Roman" w:hAnsi="Times New Roman" w:cs="Times New Roman"/>
          <w:color w:val="000000" w:themeColor="text1"/>
        </w:rPr>
        <w:t xml:space="preserve">is underscored by the fact that herbicides are a very broad group of chemicals, and their effects on microbes may differ depending on soil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mendeley":{"formattedCitation":"(5)","plainTextFormattedCitation":"(5)","previouslyFormattedCitation":"(5)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plant characteristics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Ecology","id":"ITEM-1","issue":"1","issued":{"date-parts":[["2010"]]},"note":"From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plainTextFormattedCitation":"(19)","previouslyFormattedCitation":"(19)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as well as rate of application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mendeley":{"formattedCitation":"(5)","plainTextFormattedCitation":"(5)","previouslyFormattedCitation":"(5)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mode of action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Furthermore, herbicides have the potential to indirectly </w:t>
      </w:r>
      <w:r w:rsidRPr="00B3074D">
        <w:rPr>
          <w:rFonts w:ascii="Times New Roman" w:hAnsi="Times New Roman" w:cs="Times New Roman"/>
          <w:color w:val="000000" w:themeColor="text1"/>
        </w:rPr>
        <w:lastRenderedPageBreak/>
        <w:t xml:space="preserve">affect the soil microbiome through changes to vegetation and subsequent root exudation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mendeley":{"formattedCitation":"(20)","plainTextFormattedCitation":"(20)","previouslyFormattedCitation":"(20)"},"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(20)</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making it even more difficult to understand how microbial systems might respond.</w:t>
      </w:r>
    </w:p>
    <w:p w14:paraId="55090DF2" w14:textId="5E198AC0" w:rsidR="0075436A" w:rsidRPr="002F4D3B" w:rsidRDefault="00B3074D" w:rsidP="00061269">
      <w:pPr>
        <w:spacing w:line="480" w:lineRule="auto"/>
        <w:ind w:firstLine="720"/>
        <w:rPr>
          <w:rFonts w:ascii="Times New Roman" w:hAnsi="Times New Roman" w:cs="Times New Roman"/>
          <w:color w:val="000000" w:themeColor="text1"/>
        </w:rPr>
      </w:pPr>
      <w:r w:rsidRPr="002F4D3B">
        <w:rPr>
          <w:rFonts w:ascii="Times New Roman" w:hAnsi="Times New Roman" w:cs="Times New Roman"/>
          <w:color w:val="000000" w:themeColor="text1"/>
        </w:rPr>
        <w:t xml:space="preserve">Studying the effects of herbicide on soil properties and processes is not a new endeavor, with research dating as far back as the 1960’s </w:t>
      </w:r>
      <w:r w:rsidRPr="002F4D3B">
        <w:rPr>
          <w:rFonts w:ascii="Times New Roman" w:hAnsi="Times New Roman" w:cs="Times New Roman"/>
          <w:color w:val="000000" w:themeColor="text1"/>
        </w:rPr>
        <w:fldChar w:fldCharType="begin" w:fldLock="1"/>
      </w:r>
      <w:r w:rsidR="00B92C04" w:rsidRPr="002F4D3B">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mendeley":{"formattedCitation":"(4)","plainTextFormattedCitation":"(4)","previouslyFormattedCitation":"(4)"},"properties":{"noteIndex":0},"schema":"https://github.com/citation-style-language/schema/raw/master/csl-citation.json"}</w:instrText>
      </w:r>
      <w:r w:rsidRPr="002F4D3B">
        <w:rPr>
          <w:rFonts w:ascii="Times New Roman" w:hAnsi="Times New Roman" w:cs="Times New Roman"/>
          <w:color w:val="000000" w:themeColor="text1"/>
        </w:rPr>
        <w:fldChar w:fldCharType="separate"/>
      </w:r>
      <w:r w:rsidR="00B92C04" w:rsidRPr="002F4D3B">
        <w:rPr>
          <w:rFonts w:ascii="Times New Roman" w:hAnsi="Times New Roman" w:cs="Times New Roman"/>
          <w:noProof/>
          <w:color w:val="000000" w:themeColor="text1"/>
        </w:rPr>
        <w:t>(4)</w:t>
      </w:r>
      <w:r w:rsidRPr="002F4D3B">
        <w:rPr>
          <w:rFonts w:ascii="Times New Roman" w:hAnsi="Times New Roman" w:cs="Times New Roman"/>
          <w:color w:val="000000" w:themeColor="text1"/>
        </w:rPr>
        <w:fldChar w:fldCharType="end"/>
      </w:r>
      <w:r w:rsidRPr="002F4D3B">
        <w:rPr>
          <w:rFonts w:ascii="Times New Roman" w:hAnsi="Times New Roman" w:cs="Times New Roman"/>
          <w:color w:val="000000" w:themeColor="text1"/>
        </w:rPr>
        <w:t xml:space="preserve">. Until recently, the methods used to examine the effects of herbicide on soil microbes, like denaturing gradient gel electrophoresis (DGGE) or soil respiration studies, have limited the ability of researchers to uncover fine scale changes in microbiome structure or function following application, and this resulted in the general consensus that herbicides have limited to no effect on soil microbial assemblages </w:t>
      </w:r>
      <w:r w:rsidRPr="002F4D3B">
        <w:rPr>
          <w:rFonts w:ascii="Times New Roman" w:hAnsi="Times New Roman" w:cs="Times New Roman"/>
          <w:color w:val="000000" w:themeColor="text1"/>
        </w:rPr>
        <w:fldChar w:fldCharType="begin" w:fldLock="1"/>
      </w:r>
      <w:r w:rsidR="00B92C04" w:rsidRPr="002F4D3B">
        <w:rPr>
          <w:rFonts w:ascii="Times New Roman" w:hAnsi="Times New Roman" w:cs="Times New Roman"/>
          <w:color w:val="000000" w:themeColor="text1"/>
        </w:rPr>
        <w:instrText>ADDIN CSL_CITATION {"citationItems":[{"id":"ITEM-1","itemData":{"DOI":"10.1071/SR05125","ISBN":"0004-9573","ISSN":"00049573","PMID":"696","abstract":"External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Research","id":"ITEM-1","issue":"4","issued":{"date-parts":[["2006"]]},"page":"379-406","title":"Impact of agricultural inputs on soil organisms - A review","type":"article-journal","volume":"44"},"uris":["http://www.mendeley.com/documents/?uuid=912753b6-4e3e-4c96-a9fa-4a7092330579"]}],"mendeley":{"formattedCitation":"(16)","plainTextFormattedCitation":"(16)","previouslyFormattedCitation":"(16)"},"properties":{"noteIndex":0},"schema":"https://github.com/citation-style-language/schema/raw/master/csl-citation.json"}</w:instrText>
      </w:r>
      <w:r w:rsidRPr="002F4D3B">
        <w:rPr>
          <w:rFonts w:ascii="Times New Roman" w:hAnsi="Times New Roman" w:cs="Times New Roman"/>
          <w:color w:val="000000" w:themeColor="text1"/>
        </w:rPr>
        <w:fldChar w:fldCharType="separate"/>
      </w:r>
      <w:r w:rsidR="00B92C04" w:rsidRPr="002F4D3B">
        <w:rPr>
          <w:rFonts w:ascii="Times New Roman" w:hAnsi="Times New Roman" w:cs="Times New Roman"/>
          <w:noProof/>
          <w:color w:val="000000" w:themeColor="text1"/>
        </w:rPr>
        <w:t>(16)</w:t>
      </w:r>
      <w:r w:rsidRPr="002F4D3B">
        <w:rPr>
          <w:rFonts w:ascii="Times New Roman" w:hAnsi="Times New Roman" w:cs="Times New Roman"/>
          <w:color w:val="000000" w:themeColor="text1"/>
        </w:rPr>
        <w:fldChar w:fldCharType="end"/>
      </w:r>
      <w:r w:rsidRPr="002F4D3B">
        <w:rPr>
          <w:rFonts w:ascii="Times New Roman" w:hAnsi="Times New Roman" w:cs="Times New Roman"/>
          <w:color w:val="000000" w:themeColor="text1"/>
        </w:rPr>
        <w:t xml:space="preserve">. However, over the past ten years, the use of modern molecular tools including high throughput sequencing (HTS), metagenomics and even enzyme assays have afforded researchers a new level of detail when studying the response of soil communities to agricultural amendments. Despite the new level of detail, results from studies examining the effects of herbicide on the soil microbiome remain mixed and only highlight the need for </w:t>
      </w:r>
      <w:r w:rsidR="002F4D3B" w:rsidRPr="002F4D3B">
        <w:rPr>
          <w:rFonts w:ascii="Times New Roman" w:hAnsi="Times New Roman" w:cs="Times New Roman"/>
          <w:color w:val="000000" w:themeColor="text1"/>
        </w:rPr>
        <w:t>further</w:t>
      </w:r>
      <w:r w:rsidRPr="002F4D3B">
        <w:rPr>
          <w:rFonts w:ascii="Times New Roman" w:hAnsi="Times New Roman" w:cs="Times New Roman"/>
          <w:color w:val="000000" w:themeColor="text1"/>
        </w:rPr>
        <w:t xml:space="preserve"> research </w:t>
      </w:r>
      <w:r w:rsidRPr="002F4D3B">
        <w:rPr>
          <w:rFonts w:ascii="Times New Roman" w:hAnsi="Times New Roman" w:cs="Times New Roman"/>
          <w:color w:val="000000" w:themeColor="text1"/>
        </w:rPr>
        <w:fldChar w:fldCharType="begin" w:fldLock="1"/>
      </w:r>
      <w:r w:rsidR="00B92C04" w:rsidRPr="002F4D3B">
        <w:rPr>
          <w:rFonts w:ascii="Times New Roman" w:hAnsi="Times New Roman" w:cs="Times New Roman"/>
          <w:color w:val="000000" w:themeColor="text1"/>
        </w:rPr>
        <w:instrText>ADDIN CSL_CITATION {"citationItems":[{"id":"ITEM-1","itemData":{"DOI":"10.1016/j.scitotenv.2018.07.395","ISSN":"18791026","abstract":"Soil microbiology could be affected by the presence of pesticide residues during intensive farming, potentially threatening the soil environment. The aim here was to assess the dissipation of the herbicides triasulfuron and prosulfocarb, applied as a combined commercial formulation, and the changes in soil microbial communities (through the profile of phospholipid fatty acids (PLFAs) extracted from the soil) during the dissipation time of the herbicides under field conditions. The dissipation of herbicides and the soil microbial structure were assessed under different agricultural practices, such as the repeated application of herbicides (twice), in unamended and amended soils with two organic amendments derived from green compost (GC1 and GC2) and with non-irrigation and irrigation regimes. The results obtained indicate slower dissipation for triasulfuron than for prosulfocarb. The 50% dissipation time (DT50) decreased under all conditions for the second application of triasulfuron, although not for prosulfocarb. The DT50 values for both herbicides increased in the GC2 amended soil with the highest organic carbon (OC) content. The DT50 values decreased for prosulfocarb with irrigation, but not for triasulfuron, despite its higher water solubility. The herbicides did not have any significant effects on the relative population of Gram-negative and Gram-positive bacteria during the assay, but the relative abundance of Actinobacteria increased in all the soils with herbicides. At the end of the assay (215 days), the negative effects of herbicides on fungi abundance were significant (p &lt; 0.05) for all the treatments. These microbiological changes were detected in non-irrigated and irrigated soils, and were more noticeable after the second application of herbicides. Actinobacteria could be responsible for the modification of herbicide degradation rates, which tend to be faster after the second application. This study makes a useful contribution to the evaluation of the soil environment and microbiological risks due to the long-term repeated application of herbicides under different agricultural management practices.","author":[{"dropping-particle":"","family":"García-Delgado","given":"Carlos","non-dropping-particle":"","parse-names":false,"suffix":""},{"dropping-particle":"","family":"Barba-Vicente","given":"Víctor","non-dropping-particle":"","parse-names":false,"suffix":""},{"dropping-particle":"","family":"Marín-Benito","given":"Jesús M.","non-dropping-particle":"","parse-names":false,"suffix":""},{"dropping-particle":"","family":"Mariano Igual","given":"J.","non-dropping-particle":"","parse-names":false,"suffix":""},{"dropping-particle":"","family":"Sánchez-Martín","given":"María J.","non-dropping-particle":"","parse-names":false,"suffix":""},{"dropping-particle":"","family":"Sonia Rodríguez-Cruz","given":"M.","non-dropping-particle":"","parse-names":false,"suffix":""}],"container-title":"Science of the Total Environment","id":"ITEM-1","issued":{"date-parts":[["2019"]]},"page":"1478-1488","publisher":"Elsevier B.V.","title":"Influence of different agricultural management practices on soil microbial community over dissipation time of two herbicides","type":"article-journal","volume":"646"},"uris":["http://www.mendeley.com/documents/?uuid=f86921d5-aea3-4d28-a7cf-6f89a9d79b28"]},{"id":"ITEM-2","itemData":{"DOI":"10.1016/j.apsoil.2018.03.004","ISSN":"09291393","abstract":"The simultaneous use of herbicides and organic amendments is a common agricultural practice that may modify the behavior of the herbicides themselves and affect the microbial community in soils. There is little information about the changes in the soil microbial community by this agricultural practice under real field conditions. The aim of this work was to assess the effects on the soil microbial community (abundance, activity, and structure) of the following two herbicides triasulfuron (TSF) and prosulfocarb (PSC) applied as individual or combined formulations in an unamended soil (Soil) and in a soil amended with green compost (Soil + GC) at field scale. Herbicide dissipation, soil biomass, respiration, dehydrogenase activity (DHA), and the profile of phospholipid fatty acids (PLFA) were monitored for 100 days. Triasulfuron recorded a slower dissipation rate than PSC. The dissipation rate of TSF decreased in the GC-amended soils compared to the unamended ones. Furthermore, the Soil + GC recorded a higher soil biomass and respiration than the unamended ones. In the GC-amended soil, biomass values decreased with individual or combined TSF application compared to the Soil + GC control, while biomass values in the unamended soil increased with the application of combined herbicides after 100 days. In general, soil respiration values decreased with the application of herbicides in both the unamended and GC-amended soils. This negative effect was higher for the combined TSF + PSC application. DHA values decreased over time in the unamended soils treated with herbicides, but this decrease was not observed in the GC-amended soil. The microbial structure clearly changed throughout the experiment under the different conditions assayed. After 100 days of simultaneous TSF + PSC application, there was a significant increase in Gram-positive bacteria and a significant decrease in Gram-negative bacteria and Actinobacteria in the unamended soil. The GC-amended soil minimized the effects of TSF + PSC, and only the relative abundance of Actinobacteria increased at 100 days. The microbial community in the unamended and GC-amended soils behaved differently with herbicide application; however, the combined application of TSF and PSC altered soil microbial activity and structure compared to their individual application or non-application. The application of GC to soil buffered the impact of TSF and PSC on microbial biomass and activity, and reduced the shift in the soil m…","author":[{"dropping-particle":"","family":"García-Delgado","given":"C.","non-dropping-particle":"","parse-names":false,"suffix":""},{"dropping-particle":"","family":"Barba","given":"V.","non-dropping-particle":"","parse-names":false,"suffix":""},{"dropping-particle":"","family":"Marín-Benito","given":"J. M.","non-dropping-particle":"","parse-names":false,"suffix":""},{"dropping-particle":"","family":"Igual","given":"J. M.","non-dropping-particle":"","parse-names":false,"suffix":""},{"dropping-particle":"","family":"Sánchez-Martín","given":"M. J.","non-dropping-particle":"","parse-names":false,"suffix":""},{"dropping-particle":"","family":"Rodríguez-Cruz","given":"M. S.","non-dropping-particle":"","parse-names":false,"suffix":""}],"container-title":"Applied Soil Ecology","id":"ITEM-2","issue":"March","issued":{"date-parts":[["2018"]]},"page":"30-40","publisher":"Elsevier","title":"Simultaneous application of two herbicides and green compost in a field experiment: Implications on soil microbial community","type":"article-journal","volume":"127"},"uris":["http://www.mendeley.com/documents/?uuid=1dd81d66-5ee8-4047-b996-a96286e435cd"]},{"id":"ITEM-3","itemData":{"DOI":"10.1016/j.apsoil.2017.04.012","ISSN":"09291393","abstract":"The use of glyphosate has been continually increasing world-wide. Microbes involved in the soil nitrogen cycle, particularly the ammonia-oxidizing bacteria and archaea (AOB, AOA) that perform the rate-limiting step in nitrification, i.e. the oxidation of ammonia to nitrite, are recognized to be sensitive to pesticide application. However, knowledge about the effects of glyphosate on these microorganisms is limited, and no reports exist about the impacts of simultaneous application of this herbicide and N fertilization, particularly with culture-independent approaches. The aim of this study was to assess the non-target effect of glyphosate on overall microbial activity and nitrification activity, as well as the dynamics of nitrifying populations, in a soil with the addition of N fertilizer. Microcosms were prepared with the amendments: Fertilizer [(NH4)2PO4, 335 mg kg−1soil], Glyphosate + Fertilizer [G + F, 150 mg kg−1soil plus dose of F], or Control [CT, water]. Triplicate microcosms were destructively sampled over 1 month and analyzed for nitrate production (N-NO3). Soil DNA was extracted and copies of 16S rRNA and bacterial and archaeal amoA genes were measured by quantitative PCR, while AOB community structure was analyzed by denaturant gradient gel electrophoresis (DGGE). Results showed a significant interaction (P &lt; 0.01) between amendment and sampling date effects for N-NO3. The fertilized treatments did not differ in their N-NO3concentration, and had higher N-NO3levels than CT at all sampling dates except day 4. The qPCR analyses of total bacteria and nitrifying prokaryotes, revealed that amoA gene of AOA (</w:instrText>
      </w:r>
      <w:r w:rsidR="00B92C04" w:rsidRPr="002F4D3B">
        <w:rPr>
          <w:rFonts w:ascii="Cambria Math" w:hAnsi="Cambria Math" w:cs="Cambria Math"/>
          <w:color w:val="000000" w:themeColor="text1"/>
        </w:rPr>
        <w:instrText>∼</w:instrText>
      </w:r>
      <w:r w:rsidR="00B92C04" w:rsidRPr="002F4D3B">
        <w:rPr>
          <w:rFonts w:ascii="Times New Roman" w:hAnsi="Times New Roman" w:cs="Times New Roman"/>
          <w:color w:val="000000" w:themeColor="text1"/>
        </w:rPr>
        <w:instrText>1 × 107copies μg−1DNA, on average for all amendments and sampling times) were more abundant than AOB (</w:instrText>
      </w:r>
      <w:r w:rsidR="00B92C04" w:rsidRPr="002F4D3B">
        <w:rPr>
          <w:rFonts w:ascii="Cambria Math" w:hAnsi="Cambria Math" w:cs="Cambria Math"/>
          <w:color w:val="000000" w:themeColor="text1"/>
        </w:rPr>
        <w:instrText>∼</w:instrText>
      </w:r>
      <w:r w:rsidR="00B92C04" w:rsidRPr="002F4D3B">
        <w:rPr>
          <w:rFonts w:ascii="Times New Roman" w:hAnsi="Times New Roman" w:cs="Times New Roman"/>
          <w:color w:val="000000" w:themeColor="text1"/>
        </w:rPr>
        <w:instrText>9 × 105copies μg−1DNA, idem AOA) in this soil. This predominant group of nitrifiers were not affected by treatments or incubation time. Conversely, amendment and incubation time showed a significant interaction influencing AOB abundance (P &lt; 0.001), as F and G + F microcosms had higher amoA abundance than CT at 18 and 32 days after amendment. Total bacteria were not affected by amendments, and decreased over the incubation (P &lt; 0.001). This study shows that nitrification and AOB abundance are more sensitive parameters to assess the combined impact of glyphosate and fertilizer on microbial communities, than total bacteria or AOA. Non-target effects of glyphosate when combined with N fertilizer on nitrifying microbes were not detected in this s…","author":[{"dropping-particle":"","family":"Zabaloy","given":"María Celina","non-dropping-particle":"","parse-names":false,"suffix":""},{"dropping-particle":"","family":"Allegrini","given":"Marco","non-dropping-particle":"","parse-names":false,"suffix":""},{"dropping-particle":"","family":"Tebbe","given":"Dennis A.","non-dropping-particle":"","parse-names":false,"suffix":""},{"dropping-particle":"","family":"Schuster","given":"Konrad","non-dropping-particle":"","parse-names":false,"suffix":""},{"dropping-particle":"V.","family":"Gomez","given":"Elena del","non-dropping-particle":"","parse-names":false,"suffix":""}],"container-title":"Applied Soil Ecology","id":"ITEM-3","issue":"March","issued":{"date-parts":[["2017"]]},"page":"88-95","publisher":"Elsevier","title":"Nitrifying bacteria and archaea withstanding glyphosate in fertilized soil microcosms","type":"article-journal","volume":"117-118"},"uris":["http://www.mendeley.com/documents/?uuid=923d14ec-0c64-44f6-8ad3-59c1292a64ba"]},{"id":"ITEM-4","itemData":{"DOI":"10.1007/s10311-014-0458-2","ISBN":"1610-3653","ISSN":"16103661","abstract":"The use of pesticides in agriculture has highly increased during the last 40 years to increase crop yields. However, today most pesticides are polluting water, soil, atmosphere and food. Pesticides are also impact soil enzymes, which are essential catalysts ruling the quality of soil life. In particular, the activity of soil enzymes control nutrient cycles, and, in turn, fertilization. Here, we review the effects of pesticides on the activity of soil enzymes in terrestrial ecosystems. Enzymes include dehydrogenase, fluorescein diacetate hydrolase, acid phosphatase, alkaline phosphatase, phosphatase, β-glucosidase, cellulase, urease and aryl-sulfatase. Those enzymes are involved in the cycles of carbon, nitrogen, sulfur and phosphorus. The main points of our analysis are (1) the common inhibition of dehydrogenase in 61 % of studies, stimulation of cellulase in 56 % of studies and no response of aryl-sulfatase in 67 % of studies. (2) Fungicides have mainly negative effects on enzymatic activities. (3) Insecticides can be classified into two groups, the first group represented by endosulfan having an overall positive impact while the second group having a negative effect. (4) Herbicides can be classified into two groups, one group with few positive effect and another group with negative effect. © 2014 Springer International Publishing Switzerland.","author":[{"dropping-particle":"","family":"Riah","given":"Wassila","non-dropping-particle":"","parse-names":false,"suffix":""},{"dropping-particle":"","family":"Laval","given":"Karine","non-dropping-particle":"","parse-names":false,"suffix":""},{"dropping-particle":"","family":"Laroche-Ajzenberg","given":"Emilie","non-dropping-particle":"","parse-names":false,"suffix":""},{"dropping-particle":"","family":"Mougin","given":"Christian","non-dropping-particle":"","parse-names":false,"suffix":""},{"dropping-particle":"","family":"Latour","given":"Xavier","non-dropping-particle":"","parse-names":false,"suffix":""},{"dropping-particle":"","family":"Trinsoutrot-Gattin","given":"Isabelle","non-dropping-particle":"","parse-names":false,"suffix":""}],"container-title":"Environmental Chemistry Letters","id":"ITEM-4","issue":"2","issued":{"date-parts":[["2014"]]},"page":"257-273","title":"Effects of pesticides on soil enzymes: A review","type":"article-journal","volume":"12"},"uris":["http://www.mendeley.com/documents/?uuid=b1dc6ded-37f0-40b1-8dd8-ec3496ef7f42"]},{"id":"ITEM-5","itemData":{"DOI":"10.1071/SR05125","ISBN":"0004-9573","ISSN":"00049573","PMID":"696","abstract":"External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Research","id":"ITEM-5","issue":"4","issued":{"date-parts":[["2006"]]},"page":"379-406","title":"Impact of agricultural inputs on soil organisms - A review","type":"article-journal","volume":"44"},"uris":["http://www.mendeley.com/documents/?uuid=912753b6-4e3e-4c96-a9fa-4a7092330579"]}],"mendeley":{"formattedCitation":"(16, 21–24)","plainTextFormattedCitation":"(16, 21–24)","previouslyFormattedCitation":"(16, 21–24)"},"properties":{"noteIndex":0},"schema":"https://github.com/citation-style-language/schema/raw/master/csl-citation.json"}</w:instrText>
      </w:r>
      <w:r w:rsidRPr="002F4D3B">
        <w:rPr>
          <w:rFonts w:ascii="Times New Roman" w:hAnsi="Times New Roman" w:cs="Times New Roman"/>
          <w:color w:val="000000" w:themeColor="text1"/>
        </w:rPr>
        <w:fldChar w:fldCharType="separate"/>
      </w:r>
      <w:r w:rsidR="00B92C04" w:rsidRPr="002F4D3B">
        <w:rPr>
          <w:rFonts w:ascii="Times New Roman" w:hAnsi="Times New Roman" w:cs="Times New Roman"/>
          <w:noProof/>
          <w:color w:val="000000" w:themeColor="text1"/>
        </w:rPr>
        <w:t>(16, 21–24)</w:t>
      </w:r>
      <w:r w:rsidRPr="002F4D3B">
        <w:rPr>
          <w:rFonts w:ascii="Times New Roman" w:hAnsi="Times New Roman" w:cs="Times New Roman"/>
          <w:color w:val="000000" w:themeColor="text1"/>
        </w:rPr>
        <w:fldChar w:fldCharType="end"/>
      </w:r>
      <w:r w:rsidRPr="002F4D3B">
        <w:rPr>
          <w:rFonts w:ascii="Times New Roman" w:hAnsi="Times New Roman" w:cs="Times New Roman"/>
          <w:color w:val="000000" w:themeColor="text1"/>
        </w:rPr>
        <w:fldChar w:fldCharType="begin" w:fldLock="1"/>
      </w:r>
      <w:r w:rsidR="00B92C04" w:rsidRPr="002F4D3B">
        <w:rPr>
          <w:rFonts w:ascii="Times New Roman" w:hAnsi="Times New Roman" w:cs="Times New Roman"/>
          <w:color w:val="000000" w:themeColor="text1"/>
        </w:rPr>
        <w:instrText>ADDIN CSL_CITATION {"citationItems":[{"id":"ITEM-1","itemData":{"DOI":"10.1071/SR05125","ISBN":"0004-9573","ISSN":"00049573","PMID":"696","abstract":"External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Research","id":"ITEM-1","issue":"4","issued":{"date-parts":[["2006"]]},"page":"379-406","title":"Impact of agricultural inputs on soil organisms - A review","type":"article-journal","volume":"44"},"uris":["http://www.mendeley.com/documents/?uuid=912753b6-4e3e-4c96-a9fa-4a7092330579"]}],"mendeley":{"formattedCitation":"(16)","manualFormatting":" ","plainTextFormattedCitation":"(16)","previouslyFormattedCitation":"(16)"},"properties":{"noteIndex":0},"schema":"https://github.com/citation-style-language/schema/raw/master/csl-citation.json"}</w:instrText>
      </w:r>
      <w:r w:rsidRPr="002F4D3B">
        <w:rPr>
          <w:rFonts w:ascii="Times New Roman" w:hAnsi="Times New Roman" w:cs="Times New Roman"/>
          <w:color w:val="000000" w:themeColor="text1"/>
        </w:rPr>
        <w:fldChar w:fldCharType="separate"/>
      </w:r>
      <w:r w:rsidRPr="002F4D3B" w:rsidDel="0023758D">
        <w:rPr>
          <w:rFonts w:ascii="Times New Roman" w:hAnsi="Times New Roman" w:cs="Times New Roman"/>
          <w:noProof/>
          <w:color w:val="000000" w:themeColor="text1"/>
        </w:rPr>
        <w:t xml:space="preserve"> </w:t>
      </w:r>
      <w:r w:rsidRPr="002F4D3B">
        <w:rPr>
          <w:rFonts w:ascii="Times New Roman" w:hAnsi="Times New Roman" w:cs="Times New Roman"/>
          <w:color w:val="000000" w:themeColor="text1"/>
        </w:rPr>
        <w:fldChar w:fldCharType="end"/>
      </w:r>
      <w:r w:rsidRPr="002F4D3B">
        <w:rPr>
          <w:rFonts w:ascii="Times New Roman" w:hAnsi="Times New Roman" w:cs="Times New Roman"/>
          <w:color w:val="000000" w:themeColor="text1"/>
        </w:rPr>
        <w:t xml:space="preserve">. </w:t>
      </w:r>
    </w:p>
    <w:p w14:paraId="5719B31C" w14:textId="3CD52F45"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To better understand how herbicide application </w:t>
      </w:r>
      <w:r w:rsidR="0075436A">
        <w:rPr>
          <w:rFonts w:ascii="Times New Roman" w:hAnsi="Times New Roman" w:cs="Times New Roman"/>
          <w:color w:val="000000" w:themeColor="text1"/>
        </w:rPr>
        <w:t>influences</w:t>
      </w:r>
      <w:r w:rsidRPr="00B3074D">
        <w:rPr>
          <w:rFonts w:ascii="Times New Roman" w:hAnsi="Times New Roman" w:cs="Times New Roman"/>
          <w:color w:val="000000" w:themeColor="text1"/>
        </w:rPr>
        <w:t xml:space="preserve"> microbial function and diversity in Wyoming, we compared the effects of three different herbicides along with handweeded and nontreated controls on the structure and function of</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the soil</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 xml:space="preserve">microbiome in </w:t>
      </w:r>
      <w:proofErr w:type="spellStart"/>
      <w:r w:rsidRPr="00B3074D">
        <w:rPr>
          <w:rFonts w:ascii="Times New Roman" w:hAnsi="Times New Roman" w:cs="Times New Roman"/>
          <w:i/>
          <w:iCs/>
          <w:color w:val="000000" w:themeColor="text1"/>
        </w:rPr>
        <w:t>Zea</w:t>
      </w:r>
      <w:proofErr w:type="spellEnd"/>
      <w:r w:rsidRPr="00B3074D">
        <w:rPr>
          <w:rFonts w:ascii="Times New Roman" w:hAnsi="Times New Roman" w:cs="Times New Roman"/>
          <w:i/>
          <w:iCs/>
          <w:color w:val="000000" w:themeColor="text1"/>
        </w:rPr>
        <w:t xml:space="preserve"> mays </w:t>
      </w:r>
      <w:r w:rsidRPr="00B3074D">
        <w:rPr>
          <w:rFonts w:ascii="Times New Roman" w:hAnsi="Times New Roman" w:cs="Times New Roman"/>
          <w:color w:val="000000" w:themeColor="text1"/>
        </w:rPr>
        <w:t xml:space="preserve">over twenty days post-application. Each of the three examined herbicides act on a different mode of action (Table 1), and as such, we hypothesized that the effects of each herbicide on microbial diversity and function would differ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 xml:space="preserve">Specifically, </w:t>
      </w:r>
      <w:r w:rsidRPr="00B3074D">
        <w:rPr>
          <w:rFonts w:ascii="Times New Roman" w:hAnsi="Times New Roman" w:cs="Times New Roman"/>
        </w:rPr>
        <w:t xml:space="preserve">we hypothesized the </w:t>
      </w:r>
      <w:proofErr w:type="spellStart"/>
      <w:r w:rsidRPr="00B3074D">
        <w:rPr>
          <w:rFonts w:ascii="Times New Roman" w:hAnsi="Times New Roman" w:cs="Times New Roman"/>
        </w:rPr>
        <w:t>Aatrex</w:t>
      </w:r>
      <w:proofErr w:type="spellEnd"/>
      <w:r w:rsidRPr="00B3074D">
        <w:rPr>
          <w:rFonts w:ascii="Times New Roman" w:hAnsi="Times New Roman" w:cs="Times New Roman"/>
        </w:rPr>
        <w:t xml:space="preserve"> and Calisto tank mix would </w:t>
      </w:r>
      <w:r w:rsidR="00061269">
        <w:rPr>
          <w:rFonts w:ascii="Times New Roman" w:hAnsi="Times New Roman" w:cs="Times New Roman"/>
        </w:rPr>
        <w:t>affect</w:t>
      </w:r>
      <w:r w:rsidRPr="00B3074D">
        <w:rPr>
          <w:rFonts w:ascii="Times New Roman" w:hAnsi="Times New Roman" w:cs="Times New Roman"/>
        </w:rPr>
        <w:t xml:space="preserve"> nitrogen cycling microbes, as other members of this family of herbicides have been demonstrated to do so </w:t>
      </w:r>
      <w:r w:rsidRPr="00B3074D">
        <w:rPr>
          <w:rFonts w:ascii="Times New Roman" w:hAnsi="Times New Roman" w:cs="Times New Roman"/>
        </w:rPr>
        <w:fldChar w:fldCharType="begin" w:fldLock="1"/>
      </w:r>
      <w:r w:rsidR="00B92C04">
        <w:rPr>
          <w:rFonts w:ascii="Times New Roman" w:hAnsi="Times New Roman" w:cs="Times New Roman"/>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(25)","plainTextFormattedCitation":"(25)","previouslyFormattedCitation":"(25)"},"properties":{"noteIndex":0},"schema":"https://github.com/citation-style-language/schema/raw/master/csl-citation.json"}</w:instrText>
      </w:r>
      <w:r w:rsidRPr="00B3074D">
        <w:rPr>
          <w:rFonts w:ascii="Times New Roman" w:hAnsi="Times New Roman" w:cs="Times New Roman"/>
        </w:rPr>
        <w:fldChar w:fldCharType="separate"/>
      </w:r>
      <w:r w:rsidR="00B92C04" w:rsidRPr="00B92C04">
        <w:rPr>
          <w:rFonts w:ascii="Times New Roman" w:hAnsi="Times New Roman" w:cs="Times New Roman"/>
          <w:noProof/>
        </w:rPr>
        <w:t>(25)</w:t>
      </w:r>
      <w:r w:rsidRPr="00B3074D">
        <w:rPr>
          <w:rFonts w:ascii="Times New Roman" w:hAnsi="Times New Roman" w:cs="Times New Roman"/>
        </w:rPr>
        <w:fldChar w:fldCharType="end"/>
      </w:r>
      <w:r w:rsidR="0075436A">
        <w:rPr>
          <w:rFonts w:ascii="Times New Roman" w:hAnsi="Times New Roman" w:cs="Times New Roman"/>
        </w:rPr>
        <w:t xml:space="preserve">. As such, we hypothesized that this herbicide combination </w:t>
      </w:r>
      <w:r w:rsidRPr="00B3074D">
        <w:rPr>
          <w:rFonts w:ascii="Times New Roman" w:hAnsi="Times New Roman" w:cs="Times New Roman"/>
        </w:rPr>
        <w:t xml:space="preserve">may affect enzymatic activates as it contains organic N in the chemical structure of the herbicide. Roundup </w:t>
      </w:r>
      <w:proofErr w:type="spellStart"/>
      <w:r w:rsidRPr="00B3074D">
        <w:rPr>
          <w:rFonts w:ascii="Times New Roman" w:hAnsi="Times New Roman" w:cs="Times New Roman"/>
        </w:rPr>
        <w:t>Powermax</w:t>
      </w:r>
      <w:proofErr w:type="spellEnd"/>
      <w:r w:rsidRPr="00B3074D">
        <w:rPr>
          <w:rFonts w:ascii="Times New Roman" w:hAnsi="Times New Roman" w:cs="Times New Roman"/>
        </w:rPr>
        <w:t xml:space="preserve"> and Clarity are also likely to affect the structure and function </w:t>
      </w:r>
      <w:r w:rsidRPr="00B3074D">
        <w:rPr>
          <w:rFonts w:ascii="Times New Roman" w:hAnsi="Times New Roman" w:cs="Times New Roman"/>
        </w:rPr>
        <w:lastRenderedPageBreak/>
        <w:t xml:space="preserve">of the soil microbial community as they inhibit amino acid synthesis and signaling pathways that are present in both plants and microbes. Furthermore, Roundup and other glyphosate-based herbicides contain organic phosphorus and may affect phosphorus mineralization rates following application. </w:t>
      </w:r>
      <w:r w:rsidRPr="00B3074D">
        <w:rPr>
          <w:rFonts w:ascii="Times New Roman" w:hAnsi="Times New Roman" w:cs="Times New Roman"/>
          <w:color w:val="000000" w:themeColor="text1"/>
        </w:rPr>
        <w:t xml:space="preserve">Inclusion of handweeded checks allowed for comparison of the effects of herbicide application to mechanical weed removal. With this experimental design we are able to examine whether shifts in microbial function and diversity are the direct result of herbicide application or whether changes are indirectly mediated through vegetation removal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uris":["http://www.mendeley.com/documents/?uuid=4c0523a2-5ad0-44ba-ba40-7a5ae3d4b6e6"]}],"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p>
    <w:p w14:paraId="0FF92765" w14:textId="77777777" w:rsidR="00B3074D" w:rsidRPr="00B3074D" w:rsidRDefault="00B3074D" w:rsidP="00B3074D">
      <w:pPr>
        <w:spacing w:line="480" w:lineRule="auto"/>
        <w:rPr>
          <w:rFonts w:ascii="Times New Roman" w:hAnsi="Times New Roman" w:cs="Times New Roman"/>
          <w:color w:val="000000" w:themeColor="text1"/>
        </w:rPr>
      </w:pPr>
    </w:p>
    <w:p w14:paraId="2C7B337E" w14:textId="0DB8D047" w:rsidR="00B3074D" w:rsidRPr="00B3074D" w:rsidRDefault="00B3074D" w:rsidP="00B3074D">
      <w:pPr>
        <w:pStyle w:val="headingdissertation"/>
        <w:spacing w:line="480" w:lineRule="auto"/>
      </w:pPr>
      <w:bookmarkStart w:id="2" w:name="_Toc71026834"/>
      <w:r w:rsidRPr="00B3074D">
        <w:t>Methods</w:t>
      </w:r>
      <w:bookmarkEnd w:id="2"/>
      <w:r w:rsidRPr="00B3074D">
        <w:t xml:space="preserve"> </w:t>
      </w:r>
    </w:p>
    <w:p w14:paraId="0D7329D1" w14:textId="10CA7AE2" w:rsidR="00B3074D" w:rsidRPr="00B3074D" w:rsidRDefault="002F4D3B" w:rsidP="00B3074D">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t>Site description and</w:t>
      </w:r>
      <w:r w:rsidR="00B3074D" w:rsidRPr="00B3074D">
        <w:rPr>
          <w:rFonts w:ascii="Times New Roman" w:hAnsi="Times New Roman" w:cs="Times New Roman"/>
          <w:i/>
          <w:iCs/>
          <w:color w:val="000000" w:themeColor="text1"/>
        </w:rPr>
        <w:t xml:space="preserve"> experimental design</w:t>
      </w:r>
    </w:p>
    <w:p w14:paraId="1617DD84" w14:textId="0B2D2B22" w:rsidR="00B3074D" w:rsidRPr="00B3074D" w:rsidRDefault="00B3074D" w:rsidP="009B3670">
      <w:pPr>
        <w:spacing w:line="480" w:lineRule="auto"/>
        <w:rPr>
          <w:rFonts w:ascii="Times New Roman" w:hAnsi="Times New Roman" w:cs="Times New Roman"/>
        </w:rPr>
      </w:pPr>
      <w:r w:rsidRPr="00B3074D">
        <w:rPr>
          <w:rFonts w:ascii="Times New Roman" w:hAnsi="Times New Roman" w:cs="Times New Roman"/>
          <w:color w:val="000000" w:themeColor="text1"/>
          <w:shd w:val="clear" w:color="auto" w:fill="FFFFFF"/>
        </w:rPr>
        <w:t xml:space="preserve">In the summer of 2018, 20 experimental plots at the Sustainable Agriculture Research and Extension Center (SAREC) in </w:t>
      </w:r>
      <w:proofErr w:type="spellStart"/>
      <w:r w:rsidRPr="00B3074D">
        <w:rPr>
          <w:rFonts w:ascii="Times New Roman" w:hAnsi="Times New Roman" w:cs="Times New Roman"/>
          <w:color w:val="000000" w:themeColor="text1"/>
          <w:shd w:val="clear" w:color="auto" w:fill="FFFFFF"/>
        </w:rPr>
        <w:t>Lingle</w:t>
      </w:r>
      <w:proofErr w:type="spellEnd"/>
      <w:r w:rsidRPr="00B3074D">
        <w:rPr>
          <w:rFonts w:ascii="Times New Roman" w:hAnsi="Times New Roman" w:cs="Times New Roman"/>
          <w:color w:val="000000" w:themeColor="text1"/>
          <w:shd w:val="clear" w:color="auto" w:fill="FFFFFF"/>
        </w:rPr>
        <w:t>, WY (</w:t>
      </w:r>
      <w:r w:rsidRPr="00B3074D">
        <w:rPr>
          <w:rFonts w:ascii="Times New Roman" w:hAnsi="Times New Roman" w:cs="Times New Roman"/>
          <w:color w:val="000000" w:themeColor="text1"/>
          <w:spacing w:val="-3"/>
        </w:rPr>
        <w:t>MAT 8.4</w:t>
      </w:r>
      <w:r w:rsidRPr="00B3074D">
        <w:rPr>
          <w:rFonts w:ascii="Times New Roman" w:hAnsi="Times New Roman" w:cs="Times New Roman"/>
          <w:color w:val="000000" w:themeColor="text1"/>
          <w:spacing w:val="-3"/>
        </w:rPr>
        <w:sym w:font="Symbol" w:char="F0B0"/>
      </w:r>
      <w:r w:rsidRPr="00B3074D">
        <w:rPr>
          <w:rFonts w:ascii="Times New Roman" w:hAnsi="Times New Roman" w:cs="Times New Roman"/>
          <w:color w:val="000000" w:themeColor="text1"/>
          <w:spacing w:val="-3"/>
        </w:rPr>
        <w:t xml:space="preserve"> C)</w:t>
      </w:r>
      <w:r w:rsidRPr="00B3074D">
        <w:rPr>
          <w:rFonts w:ascii="Times New Roman" w:hAnsi="Times New Roman" w:cs="Times New Roman"/>
          <w:color w:val="000000" w:themeColor="text1"/>
          <w:shd w:val="clear" w:color="auto" w:fill="FFFFFF"/>
        </w:rPr>
        <w:t xml:space="preserve"> were planted with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variety ‘P9188AMX’ at 34,000 seeds per acre</w:t>
      </w:r>
      <w:r w:rsidRPr="00B3074D">
        <w:rPr>
          <w:rFonts w:ascii="Times New Roman" w:hAnsi="Times New Roman" w:cs="Times New Roman"/>
          <w:color w:val="000000" w:themeColor="text1"/>
          <w:spacing w:val="-3"/>
        </w:rPr>
        <w:t xml:space="preserve">. Plots were fertilized using a dry fertilizer prior to corn planting according to best practices (40 rock fertilizer- </w:t>
      </w:r>
      <w:r w:rsidRPr="00B3074D">
        <w:rPr>
          <w:rFonts w:ascii="Times New Roman" w:hAnsi="Times New Roman" w:cs="Times New Roman"/>
          <w:color w:val="000000"/>
        </w:rPr>
        <w:t>125Nitrogen-35Phosphorus-0Potassium-35Elemental Sulfur-13Sulfate-2Zinc blend</w:t>
      </w:r>
      <w:r w:rsidRPr="00B3074D">
        <w:rPr>
          <w:rFonts w:ascii="Times New Roman" w:hAnsi="Times New Roman" w:cs="Times New Roman"/>
        </w:rPr>
        <w:t xml:space="preserve"> -</w:t>
      </w:r>
      <w:r w:rsidRPr="00B3074D">
        <w:rPr>
          <w:rFonts w:ascii="Times New Roman" w:hAnsi="Times New Roman" w:cs="Times New Roman"/>
          <w:color w:val="000000" w:themeColor="text1"/>
          <w:spacing w:val="-3"/>
        </w:rPr>
        <w:t xml:space="preserve">J.R. Simplot Company, Boise, ID). Plots were irrigated every several days using lateral pivot irrigation according to best practices. </w:t>
      </w:r>
      <w:r w:rsidRPr="00B3074D">
        <w:rPr>
          <w:rFonts w:ascii="Times New Roman" w:hAnsi="Times New Roman" w:cs="Times New Roman"/>
          <w:color w:val="000000" w:themeColor="text1"/>
        </w:rPr>
        <w:t>The soil at this site has an alkaline pH (~ 8) with CaCO</w:t>
      </w:r>
      <w:r w:rsidRPr="00B3074D">
        <w:rPr>
          <w:rFonts w:ascii="Times New Roman" w:hAnsi="Times New Roman" w:cs="Times New Roman"/>
          <w:color w:val="000000" w:themeColor="text1"/>
          <w:vertAlign w:val="subscript"/>
        </w:rPr>
        <w:t>3</w:t>
      </w:r>
      <w:r w:rsidRPr="00B3074D">
        <w:rPr>
          <w:rFonts w:ascii="Times New Roman" w:hAnsi="Times New Roman" w:cs="Times New Roman"/>
          <w:color w:val="000000" w:themeColor="text1"/>
        </w:rPr>
        <w:t xml:space="preserve"> content between 1 and 3 %. The soil can be characterized as silty clay loam (27 % - 40 % clay)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{"citationItems":[{"id":"ITEM-1","itemData":{"DOI":"10.1007/s40093-019-00309-4","ISBN":"0123456789","ISSN":"2195-3228","abstract":"Purpose: An 8-week incubation study was conducted to monitor soil inorganic nitrogen (N), dissolved organic carbon (DOC), greenhouse gases (GHG) [CO2, N2O and CH4] and cumulative global warming potential (GWP) in dryland soil. Methods: Soil was amended with variable rates of compost (zero, 15, 30 and 45 dry Mg ha−1) and soil moistures [5% (dry), 7% (normal) and 14% (wet) water filled pore space (WFPS)] and experienced biweekly temperature transitions from 5 °C (late winter) to 10 °C (early spring) to 15 °C (late spring) to 25 °C (early summer). Results: The addition of 30 and 45 Mg ha−1 compost enhanced N mineralization with 13% more soil inorganic N (7.49 and 7.72 µg Ng−1 day−1, respectively) during early summer compared with lower compost rates. Normal and wet soils had 35% more DOC in the late spring (an average of 34 µg g−1 day−1) compared to the dry WFPS, but transitioning from late spring to early summer, DOC at all soil WFPS levels increased. Highest rates of compost were not significant sources of GHG with normal soil WFPS, compared with lower compost rates. Carbon dioxide emissions increased by 59 and 15%, respectively, as soil WFPS increased from dry to normal and normal to wet. Soils with normal WFPS were the most effective CH4 sink. Conclusion: One-time application of high compost rates to dryland soils leads to enhanced N and C mineralization under normal soil moisture and warmer temperature of the summer but will not pose significant global warming dangers to the environment through GHG emissions since soils are rarely wet.","author":[{"dropping-particle":"","family":"Brempong","given":"Mavis Badu","non-dropping-particle":"","parse-names":false,"suffix":""},{"dropping-particle":"","family":"Norton","given":"Urszula","non-dropping-particle":"","parse-names":false,"suffix":""},{"dropping-particle":"","family":"Norton","given":"Jay B.","non-dropping-particle":"","parse-names":false,"suffix":""}],"container-title":"International Journal of Recycling of Organic Waste in Agriculture","id":"ITEM-1","issue":"S1","issued":{"date-parts":[["2019","12","2"]]},"page":"367-376","publisher":"Springer Berlin Heidelberg","title":"Compost and soil moisture effects on seasonal carbon and nitrogen dynamics, greenhouse gas fluxes and global warming potential of semi-arid soils","type":"article-journal","volume":"8"},"uris":["http://www.mendeley.com/documents/?uuid=ecb0712e-e2b8-4c10-9eee-1241eeb32f5f"]}],"mendeley":{"formattedCitation":"(27)","plainTextFormattedCitation":"(27)","previouslyFormattedCitation":"(27)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is mapped as a well-drained </w:t>
      </w:r>
      <w:proofErr w:type="spellStart"/>
      <w:r w:rsidRPr="00B3074D">
        <w:rPr>
          <w:rFonts w:ascii="Times New Roman" w:hAnsi="Times New Roman" w:cs="Times New Roman"/>
          <w:color w:val="000000" w:themeColor="text1"/>
        </w:rPr>
        <w:t>Haverson</w:t>
      </w:r>
      <w:proofErr w:type="spellEnd"/>
      <w:r w:rsidRPr="00B3074D">
        <w:rPr>
          <w:rFonts w:ascii="Times New Roman" w:hAnsi="Times New Roman" w:cs="Times New Roman"/>
          <w:color w:val="000000" w:themeColor="text1"/>
        </w:rPr>
        <w:t xml:space="preserve"> and McCook loam (i.e. </w:t>
      </w:r>
      <w:proofErr w:type="spellStart"/>
      <w:r w:rsidRPr="00B3074D">
        <w:rPr>
          <w:rFonts w:ascii="Times New Roman" w:hAnsi="Times New Roman" w:cs="Times New Roman"/>
          <w:color w:val="000000" w:themeColor="text1"/>
        </w:rPr>
        <w:t>HnA</w:t>
      </w:r>
      <w:proofErr w:type="spellEnd"/>
      <w:r w:rsidRPr="00B3074D">
        <w:rPr>
          <w:rFonts w:ascii="Times New Roman" w:hAnsi="Times New Roman" w:cs="Times New Roman"/>
          <w:color w:val="000000" w:themeColor="text1"/>
        </w:rPr>
        <w:t xml:space="preserve">), 0-3% slope (Web Soil Survey, USDA-NRCS). </w:t>
      </w:r>
      <w:r w:rsidRPr="00B3074D">
        <w:rPr>
          <w:rFonts w:ascii="Times New Roman" w:hAnsi="Times New Roman" w:cs="Times New Roman"/>
          <w:color w:val="000000" w:themeColor="text1"/>
          <w:shd w:val="clear" w:color="auto" w:fill="FFFFFF"/>
        </w:rPr>
        <w:t xml:space="preserve">Each plot, 3 m x 10 m, consisted of five evenly spaced rows of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The experimental design included five different treatments with four replicate plots each</w:t>
      </w:r>
      <w:r w:rsidR="002F4D3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 control (nontreated), handweeded plots, and three different</w:t>
      </w:r>
      <w:r w:rsidR="0075436A">
        <w:rPr>
          <w:rFonts w:ascii="Times New Roman" w:hAnsi="Times New Roman" w:cs="Times New Roman"/>
          <w:color w:val="000000" w:themeColor="text1"/>
          <w:shd w:val="clear" w:color="auto" w:fill="FFFFFF"/>
        </w:rPr>
        <w:t xml:space="preserve"> chemical</w:t>
      </w:r>
      <w:r w:rsidRPr="00B3074D">
        <w:rPr>
          <w:rFonts w:ascii="Times New Roman" w:hAnsi="Times New Roman" w:cs="Times New Roman"/>
          <w:color w:val="000000" w:themeColor="text1"/>
          <w:shd w:val="clear" w:color="auto" w:fill="FFFFFF"/>
        </w:rPr>
        <w:t xml:space="preserve"> herbicide applications. The three </w:t>
      </w:r>
      <w:r w:rsidR="0075436A">
        <w:rPr>
          <w:rFonts w:ascii="Times New Roman" w:hAnsi="Times New Roman" w:cs="Times New Roman"/>
          <w:color w:val="000000" w:themeColor="text1"/>
          <w:shd w:val="clear" w:color="auto" w:fill="FFFFFF"/>
        </w:rPr>
        <w:t xml:space="preserve">chemical </w:t>
      </w:r>
      <w:r w:rsidRPr="00B3074D">
        <w:rPr>
          <w:rFonts w:ascii="Times New Roman" w:hAnsi="Times New Roman" w:cs="Times New Roman"/>
          <w:color w:val="000000" w:themeColor="text1"/>
          <w:shd w:val="clear" w:color="auto" w:fill="FFFFFF"/>
        </w:rPr>
        <w:t xml:space="preserve">herbicides used in the study were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(glyphosate, group 9),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w:t>
      </w:r>
      <w:proofErr w:type="spellStart"/>
      <w:r w:rsidRPr="00B3074D">
        <w:rPr>
          <w:rFonts w:ascii="Times New Roman" w:hAnsi="Times New Roman" w:cs="Times New Roman"/>
          <w:color w:val="000000" w:themeColor="text1"/>
          <w:shd w:val="clear" w:color="auto" w:fill="FFFFFF"/>
        </w:rPr>
        <w:t>Callisto</w:t>
      </w:r>
      <w:proofErr w:type="spellEnd"/>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lastRenderedPageBreak/>
        <w:t xml:space="preserve">(atrazine and </w:t>
      </w:r>
      <w:proofErr w:type="spellStart"/>
      <w:r w:rsidRPr="00B3074D">
        <w:rPr>
          <w:rFonts w:ascii="Times New Roman" w:hAnsi="Times New Roman" w:cs="Times New Roman"/>
          <w:color w:val="000000" w:themeColor="text1"/>
          <w:shd w:val="clear" w:color="auto" w:fill="FFFFFF"/>
        </w:rPr>
        <w:t>mesotrione</w:t>
      </w:r>
      <w:proofErr w:type="spellEnd"/>
      <w:r w:rsidRPr="00B3074D">
        <w:rPr>
          <w:rFonts w:ascii="Times New Roman" w:hAnsi="Times New Roman" w:cs="Times New Roman"/>
          <w:color w:val="000000" w:themeColor="text1"/>
          <w:shd w:val="clear" w:color="auto" w:fill="FFFFFF"/>
        </w:rPr>
        <w:t xml:space="preserve"> tank mix, group 5 and 27 respectively, herein referred to as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Clarity (dicamba, group 4). Herbicides were applied at the following recommended field rates: </w:t>
      </w:r>
      <w:commentRangeStart w:id="3"/>
      <w:r w:rsidRPr="00B3074D">
        <w:rPr>
          <w:rFonts w:ascii="Times New Roman" w:hAnsi="Times New Roman" w:cs="Times New Roman"/>
          <w:color w:val="000000" w:themeColor="text1"/>
          <w:shd w:val="clear" w:color="auto" w:fill="FFFFFF"/>
        </w:rPr>
        <w:t xml:space="preserve">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2338.5 mL/Ha,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1169.25 mL/Ha, </w:t>
      </w:r>
      <w:proofErr w:type="spellStart"/>
      <w:r w:rsidRPr="00B3074D">
        <w:rPr>
          <w:rFonts w:ascii="Times New Roman" w:hAnsi="Times New Roman" w:cs="Times New Roman"/>
          <w:color w:val="000000" w:themeColor="text1"/>
          <w:shd w:val="clear" w:color="auto" w:fill="FFFFFF"/>
        </w:rPr>
        <w:t>Callisto</w:t>
      </w:r>
      <w:proofErr w:type="spellEnd"/>
      <w:r w:rsidRPr="00B3074D">
        <w:rPr>
          <w:rFonts w:ascii="Times New Roman" w:hAnsi="Times New Roman" w:cs="Times New Roman"/>
          <w:color w:val="000000" w:themeColor="text1"/>
          <w:shd w:val="clear" w:color="auto" w:fill="FFFFFF"/>
        </w:rPr>
        <w:t xml:space="preserve"> 219.23 mL/Ha, and Clarity 584.62</w:t>
      </w:r>
      <w:r w:rsidRPr="00B3074D" w:rsidDel="00840D9F">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mL/Ha (Table 1). </w:t>
      </w:r>
      <w:commentRangeEnd w:id="3"/>
      <w:r w:rsidR="0075436A">
        <w:rPr>
          <w:rStyle w:val="CommentReference"/>
          <w:rFonts w:ascii="Times New Roman" w:eastAsia="Times New Roman" w:hAnsi="Times New Roman" w:cs="Times New Roman"/>
          <w:color w:val="000000"/>
          <w:lang w:eastAsia="de-DE"/>
        </w:rPr>
        <w:commentReference w:id="3"/>
      </w:r>
      <w:r w:rsidRPr="00B3074D">
        <w:rPr>
          <w:rFonts w:ascii="Times New Roman" w:hAnsi="Times New Roman" w:cs="Times New Roman"/>
          <w:color w:val="000000" w:themeColor="text1"/>
          <w:shd w:val="clear" w:color="auto" w:fill="FFFFFF"/>
        </w:rPr>
        <w:t xml:space="preserve">In the handweeded plots, above ground vegetation was cut using a hoe and left in the plot on the soil surface. Belowground biomass was not disturbed and remained in the soil. A pre-treatment sampling was conducted in early June, on the morning of herbicide application and hand weeding. Following herbicide application and hand weeding, two post-treatment samplings were conducted. The first was </w:t>
      </w:r>
      <w:r w:rsidR="002F4D3B">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post-treatment and the second at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w:t>
      </w:r>
    </w:p>
    <w:p w14:paraId="2C99D956"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Sampling and analysis</w:t>
      </w:r>
    </w:p>
    <w:p w14:paraId="25337D8E" w14:textId="2FDDD7E7"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To facilitate sampling, a grid was laid out over each plot and coordinates of sample location were determined using a random number generator. The corn </w:t>
      </w:r>
      <w:r w:rsidR="00FB5690">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closest to the coordinate was selected, and a 0.25 m</w:t>
      </w:r>
      <w:proofErr w:type="gramStart"/>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vertAlign w:val="subscript"/>
        </w:rPr>
        <w:t xml:space="preserve"> </w:t>
      </w:r>
      <w:r w:rsidRPr="00B3074D">
        <w:rPr>
          <w:rFonts w:ascii="Times New Roman" w:hAnsi="Times New Roman" w:cs="Times New Roman"/>
          <w:color w:val="000000" w:themeColor="text1"/>
          <w:shd w:val="clear" w:color="auto" w:fill="FFFFFF"/>
        </w:rPr>
        <w:t>Daubenmire</w:t>
      </w:r>
      <w:proofErr w:type="gramEnd"/>
      <w:r w:rsidRPr="00B3074D">
        <w:rPr>
          <w:rFonts w:ascii="Times New Roman" w:hAnsi="Times New Roman" w:cs="Times New Roman"/>
          <w:color w:val="000000" w:themeColor="text1"/>
          <w:shd w:val="clear" w:color="auto" w:fill="FFFFFF"/>
        </w:rPr>
        <w:t xml:space="preserve"> plot was placed so that </w:t>
      </w:r>
      <w:r w:rsidR="00FB5690">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was in the center. Cover classes of the main weeds including, redroot pigweed (</w:t>
      </w:r>
      <w:r w:rsidRPr="00B3074D">
        <w:rPr>
          <w:rFonts w:ascii="Times New Roman" w:hAnsi="Times New Roman" w:cs="Times New Roman"/>
          <w:i/>
          <w:iCs/>
          <w:color w:val="000000" w:themeColor="text1"/>
          <w:shd w:val="clear" w:color="auto" w:fill="FFFFFF"/>
        </w:rPr>
        <w:t xml:space="preserve">Amaranthus </w:t>
      </w:r>
      <w:proofErr w:type="spellStart"/>
      <w:r w:rsidRPr="00B3074D">
        <w:rPr>
          <w:rFonts w:ascii="Times New Roman" w:hAnsi="Times New Roman" w:cs="Times New Roman"/>
          <w:i/>
          <w:iCs/>
          <w:color w:val="000000" w:themeColor="text1"/>
          <w:shd w:val="clear" w:color="auto" w:fill="FFFFFF"/>
        </w:rPr>
        <w:t>retroflexus</w:t>
      </w:r>
      <w:proofErr w:type="spellEnd"/>
      <w:r w:rsidRPr="00B3074D">
        <w:rPr>
          <w:rFonts w:ascii="Times New Roman" w:hAnsi="Times New Roman" w:cs="Times New Roman"/>
          <w:color w:val="000000" w:themeColor="text1"/>
          <w:shd w:val="clear" w:color="auto" w:fill="FFFFFF"/>
        </w:rPr>
        <w:t>), Nightshade (Solanaceae), lamb’s quarter (</w:t>
      </w:r>
      <w:r w:rsidRPr="00B3074D">
        <w:rPr>
          <w:rFonts w:ascii="Times New Roman" w:hAnsi="Times New Roman" w:cs="Times New Roman"/>
          <w:i/>
          <w:iCs/>
          <w:color w:val="000000" w:themeColor="text1"/>
          <w:shd w:val="clear" w:color="auto" w:fill="FFFFFF"/>
        </w:rPr>
        <w:t>Chenopodium album</w:t>
      </w:r>
      <w:r w:rsidRPr="00B3074D">
        <w:rPr>
          <w:rFonts w:ascii="Times New Roman" w:hAnsi="Times New Roman" w:cs="Times New Roman"/>
          <w:color w:val="000000" w:themeColor="text1"/>
          <w:shd w:val="clear" w:color="auto" w:fill="FFFFFF"/>
        </w:rPr>
        <w:t>), and any graminoid, were recorded for each Daubenmire plot. Total weedy vegetation cover was estimated by</w:t>
      </w:r>
      <w:r w:rsidR="00FB5690">
        <w:rPr>
          <w:rFonts w:ascii="Times New Roman" w:hAnsi="Times New Roman" w:cs="Times New Roman"/>
          <w:color w:val="000000" w:themeColor="text1"/>
          <w:shd w:val="clear" w:color="auto" w:fill="FFFFFF"/>
        </w:rPr>
        <w:t xml:space="preserve"> converting weedy cover classes to a continuous predictor and</w:t>
      </w:r>
      <w:r w:rsidRPr="00B3074D">
        <w:rPr>
          <w:rFonts w:ascii="Times New Roman" w:hAnsi="Times New Roman" w:cs="Times New Roman"/>
          <w:color w:val="000000" w:themeColor="text1"/>
          <w:shd w:val="clear" w:color="auto" w:fill="FFFFFF"/>
        </w:rPr>
        <w:t xml:space="preserve"> summing. </w:t>
      </w:r>
    </w:p>
    <w:p w14:paraId="436464BC" w14:textId="42D8DA83" w:rsidR="00B3074D" w:rsidRPr="00B3074D" w:rsidRDefault="00B3074D" w:rsidP="00B3074D">
      <w:pPr>
        <w:spacing w:line="480" w:lineRule="auto"/>
        <w:ind w:firstLine="720"/>
        <w:rPr>
          <w:rFonts w:ascii="Times New Roman" w:hAnsi="Times New Roman" w:cs="Times New Roman"/>
          <w:color w:val="000000" w:themeColor="text1"/>
          <w:shd w:val="clear" w:color="auto" w:fill="FFFFFF"/>
          <w:vertAlign w:val="subscript"/>
        </w:rPr>
      </w:pPr>
      <w:r w:rsidRPr="00B3074D">
        <w:rPr>
          <w:rFonts w:ascii="Times New Roman" w:hAnsi="Times New Roman" w:cs="Times New Roman"/>
          <w:color w:val="000000" w:themeColor="text1"/>
          <w:shd w:val="clear" w:color="auto" w:fill="FFFFFF"/>
        </w:rPr>
        <w:t>Per treatment plot, three plot replicate soil samples were collected at each of the time points for a total of 180 samples (5 treatments x 4 replicate plots x 3 plot replicates x 3 time points). Each plot replicate soil sample was a composite of three soil cores from a single Daubenmire to ensure sufficient soil for laboratory analyses.</w:t>
      </w:r>
      <w:r w:rsidRPr="00B3074D" w:rsidDel="006F1A77">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Soil samples were collected using flame sterilized soil corer to a depth of 5 cm and stored on ice in sterile Whirl-Pak bags</w:t>
      </w:r>
      <w:r w:rsidR="00061269">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i/>
          <w:iCs/>
          <w:color w:val="000000" w:themeColor="text1"/>
          <w:shd w:val="clear" w:color="auto" w:fill="FFFFFF"/>
        </w:rPr>
        <w:t xml:space="preserve">In situ </w:t>
      </w:r>
      <w:r w:rsidRPr="00B3074D">
        <w:rPr>
          <w:rFonts w:ascii="Times New Roman" w:hAnsi="Times New Roman" w:cs="Times New Roman"/>
          <w:color w:val="000000" w:themeColor="text1"/>
          <w:shd w:val="clear" w:color="auto" w:fill="FFFFFF"/>
        </w:rPr>
        <w:lastRenderedPageBreak/>
        <w:t>soil</w:t>
      </w:r>
      <w:r w:rsidRPr="00B3074D">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temperature was measured at a depth of 2.5 cm using a temperature probe. Soil samples were transported back to the University of Wyoming on ice for further processing. </w:t>
      </w:r>
    </w:p>
    <w:p w14:paraId="7D796A51" w14:textId="3CB317CF" w:rsidR="00B3074D" w:rsidRPr="00B3074D" w:rsidRDefault="00B3074D" w:rsidP="00B3074D">
      <w:pPr>
        <w:spacing w:line="480" w:lineRule="auto"/>
        <w:ind w:firstLine="720"/>
        <w:rPr>
          <w:rFonts w:ascii="Times New Roman" w:hAnsi="Times New Roman" w:cs="Times New Roman"/>
        </w:rPr>
      </w:pPr>
      <w:r w:rsidRPr="00B3074D">
        <w:rPr>
          <w:rFonts w:ascii="Times New Roman" w:hAnsi="Times New Roman" w:cs="Times New Roman"/>
          <w:color w:val="000000" w:themeColor="text1"/>
          <w:shd w:val="clear" w:color="auto" w:fill="FFFFFF"/>
        </w:rPr>
        <w:t>In the lab, field-fresh soil samples processed within 24 hours. Soil samples were first thoroughly mixed in the Whirl-Pak bag used for collection</w:t>
      </w:r>
      <w:r w:rsidR="002F4D3B">
        <w:rPr>
          <w:rFonts w:ascii="Times New Roman" w:hAnsi="Times New Roman" w:cs="Times New Roman"/>
          <w:color w:val="000000" w:themeColor="text1"/>
          <w:shd w:val="clear" w:color="auto" w:fill="FFFFFF"/>
        </w:rPr>
        <w:t xml:space="preserve"> and then sieved </w:t>
      </w:r>
      <w:r w:rsidRPr="00B3074D">
        <w:rPr>
          <w:rFonts w:ascii="Times New Roman" w:hAnsi="Times New Roman" w:cs="Times New Roman"/>
          <w:color w:val="000000" w:themeColor="text1"/>
          <w:shd w:val="clear" w:color="auto" w:fill="FFFFFF"/>
        </w:rPr>
        <w:t xml:space="preserve">though an ethanol-cleaned 2 mm sieve. Gravimetric moisture content was determined by weight difference of a </w:t>
      </w:r>
      <w:r w:rsidR="002F4D3B" w:rsidRPr="00B3074D">
        <w:rPr>
          <w:rFonts w:ascii="Times New Roman" w:hAnsi="Times New Roman" w:cs="Times New Roman"/>
          <w:color w:val="000000" w:themeColor="text1"/>
          <w:shd w:val="clear" w:color="auto" w:fill="FFFFFF"/>
        </w:rPr>
        <w:t>five-gram</w:t>
      </w:r>
      <w:r w:rsidRPr="00B3074D">
        <w:rPr>
          <w:rFonts w:ascii="Times New Roman" w:hAnsi="Times New Roman" w:cs="Times New Roman"/>
          <w:color w:val="000000" w:themeColor="text1"/>
          <w:shd w:val="clear" w:color="auto" w:fill="FFFFFF"/>
        </w:rPr>
        <w:t xml:space="preserve"> subsample of sieved field-fresh soil after oven drying at 105</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 C for 48 hours. Next, ~11 g of sieved soil was weighed out for extraction in 50 mL of 0.5 M K</w:t>
      </w:r>
      <w:r w:rsidRPr="00B3074D">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rPr>
        <w:t>SO</w:t>
      </w:r>
      <w:r w:rsidRPr="00B3074D">
        <w:rPr>
          <w:rFonts w:ascii="Times New Roman" w:hAnsi="Times New Roman" w:cs="Times New Roman"/>
          <w:color w:val="000000" w:themeColor="text1"/>
          <w:shd w:val="clear" w:color="auto" w:fill="FFFFFF"/>
          <w:vertAlign w:val="subscript"/>
        </w:rPr>
        <w:t xml:space="preserve">4 </w:t>
      </w:r>
      <w:r w:rsidRPr="00B3074D">
        <w:rPr>
          <w:rFonts w:ascii="Times New Roman" w:hAnsi="Times New Roman" w:cs="Times New Roman"/>
          <w:color w:val="000000" w:themeColor="text1"/>
          <w:shd w:val="clear" w:color="auto" w:fill="FFFFFF"/>
        </w:rPr>
        <w:t xml:space="preserve">for assessment of extractable levels of cations (ammonium, calcium, sodium, and magnesium) and anions (nitrate, nitrite, phosphate, and chloride) on a Thermo scientific </w:t>
      </w:r>
      <w:proofErr w:type="spellStart"/>
      <w:r w:rsidRPr="00B3074D">
        <w:rPr>
          <w:rFonts w:ascii="Times New Roman" w:hAnsi="Times New Roman" w:cs="Times New Roman"/>
          <w:color w:val="000000" w:themeColor="text1"/>
          <w:shd w:val="clear" w:color="auto" w:fill="FFFFFF"/>
        </w:rPr>
        <w:t>Dionex</w:t>
      </w:r>
      <w:proofErr w:type="spellEnd"/>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Integrion</w:t>
      </w:r>
      <w:proofErr w:type="spellEnd"/>
      <w:r w:rsidRPr="00B3074D">
        <w:rPr>
          <w:rFonts w:ascii="Times New Roman" w:hAnsi="Times New Roman" w:cs="Times New Roman"/>
          <w:color w:val="000000" w:themeColor="text1"/>
          <w:shd w:val="clear" w:color="auto" w:fill="FFFFFF"/>
        </w:rPr>
        <w:t xml:space="preserve"> HPIC system (Thermo Fisher Scientific, Waltham, MA). Briefly, samples were shaken in extractant for 30 minutes, stored at 4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overnight and filtered through </w:t>
      </w:r>
      <w:proofErr w:type="spellStart"/>
      <w:r w:rsidRPr="00B3074D">
        <w:rPr>
          <w:rFonts w:ascii="Times New Roman" w:hAnsi="Times New Roman" w:cs="Times New Roman"/>
          <w:color w:val="000000" w:themeColor="text1"/>
          <w:shd w:val="clear" w:color="auto" w:fill="FFFFFF"/>
        </w:rPr>
        <w:t>Fisherbrand</w:t>
      </w:r>
      <w:proofErr w:type="spellEnd"/>
      <w:r w:rsidRPr="00B3074D">
        <w:rPr>
          <w:rFonts w:ascii="Times New Roman" w:hAnsi="Times New Roman" w:cs="Times New Roman"/>
          <w:color w:val="000000" w:themeColor="text1"/>
          <w:shd w:val="clear" w:color="auto" w:fill="FFFFFF"/>
        </w:rPr>
        <w:t xml:space="preserve"> Q5 filter paper the next day. Filtered extracts were diluted with nanopore water (1:10) prior to analysis and filtered through a 0.45 </w:t>
      </w:r>
      <w:r w:rsidRPr="00B3074D">
        <w:rPr>
          <w:rFonts w:ascii="Times New Roman" w:hAnsi="Times New Roman" w:cs="Times New Roman"/>
          <w:color w:val="000000" w:themeColor="text1"/>
          <w:shd w:val="clear" w:color="auto" w:fill="FFFFFF"/>
        </w:rPr>
        <w:sym w:font="Symbol" w:char="F06D"/>
      </w:r>
      <w:r w:rsidRPr="00B3074D">
        <w:rPr>
          <w:rFonts w:ascii="Times New Roman" w:hAnsi="Times New Roman" w:cs="Times New Roman"/>
          <w:color w:val="000000" w:themeColor="text1"/>
          <w:shd w:val="clear" w:color="auto" w:fill="FFFFFF"/>
        </w:rPr>
        <w:t xml:space="preserve">m hydrophilic filter as per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{"citationItems":[{"id":"ITEM-1","itemData":{"URL":"http://standardmethods.org/","accessed":{"date-parts":[["2018","6","6"]]},"id":"ITEM-1","issued":{"date-parts":[["2020"]]},"title":"Standard Methods Online -- Standard Methods for the Examination of Water and Wastewater","type":"webpage"},"uris":["http://www.mendeley.com/documents/?uuid=7d030bf0-9aeb-4e91-be40-5c8ae7a604cb"]}],"mendeley":{"formattedCitation":"(28)","plainTextFormattedCitation":"(28)","previouslyFormattedCitation":"(28)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(28)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Anions were </w:t>
      </w:r>
      <w:proofErr w:type="gramStart"/>
      <w:r w:rsidRPr="00B3074D">
        <w:rPr>
          <w:rFonts w:ascii="Times New Roman" w:hAnsi="Times New Roman" w:cs="Times New Roman"/>
          <w:color w:val="000000" w:themeColor="text1"/>
          <w:shd w:val="clear" w:color="auto" w:fill="FFFFFF"/>
        </w:rPr>
        <w:t>ran</w:t>
      </w:r>
      <w:proofErr w:type="gramEnd"/>
      <w:r w:rsidRPr="00B3074D">
        <w:rPr>
          <w:rFonts w:ascii="Times New Roman" w:hAnsi="Times New Roman" w:cs="Times New Roman"/>
          <w:color w:val="000000" w:themeColor="text1"/>
          <w:shd w:val="clear" w:color="auto" w:fill="FFFFFF"/>
        </w:rPr>
        <w:t xml:space="preserve"> on a </w:t>
      </w:r>
      <w:proofErr w:type="spellStart"/>
      <w:r w:rsidRPr="00B3074D">
        <w:rPr>
          <w:rFonts w:ascii="Times New Roman" w:hAnsi="Times New Roman" w:cs="Times New Roman"/>
          <w:color w:val="000000" w:themeColor="text1"/>
        </w:rPr>
        <w:t>Dionex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AS18 4 um 4x150 mm</w:t>
      </w:r>
      <w:r w:rsidRPr="00B3074D">
        <w:rPr>
          <w:rFonts w:ascii="Times New Roman" w:hAnsi="Times New Roman" w:cs="Times New Roman"/>
          <w:color w:val="000000" w:themeColor="text1"/>
          <w:shd w:val="clear" w:color="auto" w:fill="FFFFFF"/>
        </w:rPr>
        <w:t xml:space="preserve"> column for 20 minutes with a flow rate of 1.0 mL/min at 35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Cations were ran on a </w:t>
      </w:r>
      <w:proofErr w:type="spellStart"/>
      <w:r w:rsidRPr="00B3074D">
        <w:rPr>
          <w:rFonts w:ascii="Times New Roman" w:hAnsi="Times New Roman" w:cs="Times New Roman"/>
          <w:color w:val="000000" w:themeColor="text1"/>
          <w:shd w:val="clear" w:color="auto" w:fill="FFFFFF"/>
        </w:rPr>
        <w:t>D</w:t>
      </w:r>
      <w:r w:rsidRPr="00B3074D">
        <w:rPr>
          <w:rFonts w:ascii="Times New Roman" w:hAnsi="Times New Roman" w:cs="Times New Roman"/>
          <w:color w:val="000000" w:themeColor="text1"/>
        </w:rPr>
        <w:t>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CS16-Fast 4um 4x150mm column for 20 minutes with a flow rate of 0.64 mL/min at 40</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Raw values of anions and cations were reported as ppm and converted to mg/kg dry soil. The remaining soil was then split into two portions, of which one was frozen at -20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C for microbial analysis (</w:t>
      </w:r>
      <w:r w:rsidR="002F4D3B">
        <w:rPr>
          <w:rFonts w:ascii="Times New Roman" w:hAnsi="Times New Roman" w:cs="Times New Roman"/>
          <w:color w:val="000000" w:themeColor="text1"/>
          <w:shd w:val="clear" w:color="auto" w:fill="FFFFFF"/>
        </w:rPr>
        <w:t xml:space="preserve">e.g., </w:t>
      </w:r>
      <w:r w:rsidRPr="00B3074D">
        <w:rPr>
          <w:rFonts w:ascii="Times New Roman" w:hAnsi="Times New Roman" w:cs="Times New Roman"/>
          <w:color w:val="000000" w:themeColor="text1"/>
          <w:shd w:val="clear" w:color="auto" w:fill="FFFFFF"/>
        </w:rPr>
        <w:t>DNA extraction for determination of microbial community structure and extracellular enzyme analysis for microbial function), and the other portion was air-dried. Air dried soil was used to measure pH and electrical conductivity using an Oakton PC700 benchtop meter (OAKTON instruments, Vernon Hills, IL) with a soil to DI water ratio of 1:2 (</w:t>
      </w:r>
      <w:proofErr w:type="spellStart"/>
      <w:proofErr w:type="gramStart"/>
      <w:r w:rsidRPr="00B3074D">
        <w:rPr>
          <w:rFonts w:ascii="Times New Roman" w:hAnsi="Times New Roman" w:cs="Times New Roman"/>
          <w:color w:val="000000" w:themeColor="text1"/>
          <w:shd w:val="clear" w:color="auto" w:fill="FFFFFF"/>
        </w:rPr>
        <w:t>w:v</w:t>
      </w:r>
      <w:proofErr w:type="spellEnd"/>
      <w:proofErr w:type="gramEnd"/>
      <w:r w:rsidRPr="00B3074D">
        <w:rPr>
          <w:rFonts w:ascii="Times New Roman" w:hAnsi="Times New Roman" w:cs="Times New Roman"/>
          <w:color w:val="000000" w:themeColor="text1"/>
          <w:shd w:val="clear" w:color="auto" w:fill="FFFFFF"/>
        </w:rPr>
        <w:t xml:space="preserve">). </w:t>
      </w:r>
    </w:p>
    <w:p w14:paraId="35F0A674" w14:textId="77777777" w:rsidR="00B3074D" w:rsidRPr="00B3074D" w:rsidRDefault="00B3074D" w:rsidP="00B3074D">
      <w:pPr>
        <w:spacing w:line="480" w:lineRule="auto"/>
        <w:rPr>
          <w:rFonts w:ascii="Times New Roman" w:hAnsi="Times New Roman" w:cs="Times New Roman"/>
          <w:i/>
          <w:iCs/>
          <w:color w:val="000000" w:themeColor="text1"/>
        </w:rPr>
      </w:pPr>
      <w:r w:rsidRPr="00B3074D">
        <w:rPr>
          <w:rFonts w:ascii="Times New Roman" w:hAnsi="Times New Roman" w:cs="Times New Roman"/>
          <w:i/>
          <w:iCs/>
          <w:color w:val="000000" w:themeColor="text1"/>
        </w:rPr>
        <w:t xml:space="preserve">Extracellular enzyme analysis </w:t>
      </w:r>
    </w:p>
    <w:p w14:paraId="6C2E81E3" w14:textId="648904E1" w:rsidR="00B3074D" w:rsidRPr="00B3074D" w:rsidRDefault="00B3074D" w:rsidP="009B3670">
      <w:pPr>
        <w:spacing w:line="480" w:lineRule="auto"/>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lastRenderedPageBreak/>
        <w:t xml:space="preserve">Extracellular enzyme activities (EEA) were </w:t>
      </w:r>
      <w:r w:rsidRPr="00B3074D">
        <w:rPr>
          <w:rFonts w:ascii="Times New Roman" w:hAnsi="Times New Roman" w:cs="Times New Roman"/>
          <w:color w:val="000000" w:themeColor="text1"/>
        </w:rPr>
        <w:t xml:space="preserve">measured for seven enzymes involved in the cycling of carbon (C), nitrogen (N), and phosphorus (P) as outlined in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{"citationItems":[{"id":"ITEM-1","itemData":{"DOI":"10.3791/50961","ISBN":"1940-087X","ISSN":"1940-087X","PMID":"24299913","abstract":"Microbes in soils and other environments produce extracellular enzymes to depolymerize and hydrolyze organic macromolecules so that they can be assimilated for energy and nutrients. Measuring soil microbial enzyme activity is crucial in understanding soil ecosystem functional dynamics. The general concept of the fluorescence enzyme assay is that synthetic C-, N-, or P-rich substrates bound with a fluorescent dye are added to soil samples. When intact, the labeled substrates do not fluoresce. Enzyme activity is measured as the increase in fluorescence as the fluorescent dyes are cleaved from their substrates, which allows them to fluoresce. Enzyme measurements can be expressed in units of molarity or activity. To perform this assay, soil slurries are prepared by combining soil with a pH buffer. The pH buffer (typically a 50 mM sodium acetate or 50 mM Tris buffer), is chosen for the buffer's particular acid dissociation constant (pKa) to best match the soil sample pH. The soil slurries are inoculated with a nonlimiting amount of fluorescently labeled (i.e. C-, N-, or P-rich) substrate. Using soil slurries in the assay serves to minimize limitations on enzyme and substrate diffusion. Therefore, this assay controls for differences in substrate limitation, diffusion rates, and soil pH conditions; thus detecting potential enzyme activity rates as a function of the difference in enzyme concentrations (per sample). Fluorescence enzyme assays are typically more sensitive than spectrophotometric (i.e. colorimetric) assays, but can suffer from interference caused by impurities and the instability of many fluorescent compounds when exposed to light; so caution is required when handling fluorescent substrates. Likewise, this method only assesses potential enzyme activities under laboratory conditions when substrates are not limiting. Caution should be used when interpreting the data representing cross-site comparisons with differing temperatures or soil types, as in situ soil type and temperature can influence enzyme kinetics.","author":[{"dropping-particle":"","family":"Bell","given":"Colin W.","non-dropping-particle":"","parse-names":false,"suffix":""},{"dropping-particle":"","family":"Fricks","given":"Barbara E.","non-dropping-particle":"","parse-names":false,"suffix":""},{"dropping-particle":"","family":"Rocca","given":"Jennifer D.","non-dropping-particle":"","parse-names":false,"suffix":""},{"dropping-particle":"","family":"Steinweg","given":"Jessica M.","non-dropping-particle":"","parse-names":false,"suffix":""},{"dropping-particle":"","family":"McMahon","given":"Shawna K.","non-dropping-particle":"","parse-names":false,"suffix":""},{"dropping-particle":"","family":"Wallenstein","given":"Matthew D.","non-dropping-particle":"","parse-names":false,"suffix":""}],"container-title":"Journal of Visualized Experiments","id":"ITEM-1","issue":"81","issued":{"date-parts":[["2013","11","15"]]},"page":"1-16","title":"High-throughput Fluorometric Measurement of Potential Soil Extracellular Enzyme Activities","type":"article-journal"},"uris":["http://www.mendeley.com/documents/?uuid=ceba4dec-2f46-4021-a938-4cff285ef9a2"]},{"id":"ITEM-2","itemData":{"DOI":"10.1016/S0038-0717(02)00074-3","ISBN":"0038-0717","ISSN":"00380717","PMID":"7854201","abstract":"Anthropogenic N deposition affects litter decomposition and soil organic matter (SOM) storage through multiple mechanisms. Microbial community responses to long-term N deposition were investigated in a sugar maple-dominated forest in northern Michigan during the 1998–2000 growing seasons. Litter and soil were collected from three fertilized plots (30kg N ha−1y−1) and three control plots. The activities of 10 extracellular enzymes (EEA) were assayed. ANOVA and meta-analysis techniques were used to compare treatment responses. EEA responses to N amendment were greater in litter than in soil (litter mean effect size [d]=0.534 std. dev.; soil d=0.308). Urease, acid phosphatase and glycosidase (β-glucosidase, α-glucosidase, cellobiohydrolase, β-xylosidase) activities increased in both soil and litter; mean responses ranged from 7 to 56%. N-Acetylglucosaminidase activity increased 14% in soil but decreased 4% in litter. Phenol oxidase activity dropped 40% in soil, but increased 63% in litter. These responses suggest that N deposition has increased litter decomposition rate and depressed SOM decomposition. In previous studies, loss of phenol oxidase activity in response to N deposition has been attributed to suppression of lignin-degrading basidiomycetes. However, the decline of this activity in bacterially-dominated soil suggest that N inhibition of recalcitrant organic matter decomposition may be a more general phenomenon.","author":[{"dropping-particle":"","family":"Saiya-Cork","given":"K.R","non-dropping-particle":"","parse-names":false,"suffix":""},{"dropping-particle":"","family":"Sinsabaugh","given":"R.L","non-dropping-particle":"","parse-names":false,"suffix":""},{"dropping-particle":"","family":"Zak","given":"D.R","non-dropping-particle":"","parse-names":false,"suffix":""}],"container-title":"Soil Biology and Biochemistry","id":"ITEM-2","issue":"9","issued":{"date-parts":[["2002"]]},"page":"1309-1315","title":"The effects of long term nitrogen deposition on extracellular enzyme activity in an &lt;i&gt;Acer saccharum&lt;i&gt; forest soil","type":"article-journal","volume":"34"},"uris":["http://www.mendeley.com/documents/?uuid=3a71c7b3-ee8d-4c2c-9933-9797630ee3da"]},{"id":"ITEM-3","itemData":{"DOI":"10.1890/ES15-00262.1","ISSN":"21508925","abstract":"Rates of nitrogen (N) deposition are increasing in industrialized and rapidly developing nations. Simulated N deposition suppresses plant litter decay rates, in particular for low quality (high lignin) litter. Litter quality is a primary driver of litter decomposition; however, it is not clear how changes in litter quality caused by long-term ecosystem exposure to chronic N additions interact with altered soil N-availability to influence litter decay dynamics. To document the effects of simulated N deposition on litter quality, we conducted a meta-analysis of available litter nutrient data from simulated N deposition experiments in temperate forests. To directly test whether changes in litter quality caused by N deposition affect decay rates, we also conducted a reciprocal litterbag study in an existing N addition experiment, where a northern hardwood forest has been exposed to simulatedNdeposition for more than 20 years. The experiment enabled us to disentangle the effects ofN additions, litter quality, and their interactions on litter decay dynamics.We measured litter mass loss and extracellular enzyme activities after one and two years of decomposition. The meta-analysis demonstrated that simulatedNdeposition causes decreases of leaf Al, B, Ca, Mg, Mn, P, and Zn concentrations, and increased leafNconcentrations. Moreover, higher cumulative amounts of simulated N deposition result in greater decreases of leaf Ca and Mn concentrations. In the field experiment, litter originally collected from N-enriched plots exhibited similar N-induced nutrient changes as observed in our meta-analysis and also had lower lignolytic enzyme activities and decay rates than litter collected from control plots. The decreased litter decay rates observed with simulated N deposition were a result of the combined effects of the N fertilization itself and the historical effects of N deposition on tree litter chemistry. The data suggest that changes in litter quality caused directly by long- term N enrichment reinforce the negative effects of simulated N deposition on litter decay, particularly for high lignin species. The slowed decay associated with changes in litter quality caused by N enrichment itself may partly explain the accumulation of organic matter previously observed at ours and at other simulated N deposition experiments","author":[{"dropping-particle":"","family":"Diepen","given":"L.T.A.","non-dropping-particle":"Van","parse-names":false,"suffix":""},{"dropping-particle":"","family":"Frey","given":"S.D.","non-dropping-particle":"","parse-names":false,"suffix":""},{"dropping-particle":"","family":"Sthultz","given":"C.M.","non-dropping-particle":"","parse-names":false,"suffix":""},{"dropping-particle":"","family":"Morrison","given":"E.W.","non-dropping-particle":"","parse-names":false,"suffix":""},{"dropping-particle":"","family":"Minocha","given":"R.","non-dropping-particle":"","parse-names":false,"suffix":""},{"dropping-particle":"","family":"Pringle","given":"A.","non-dropping-particle":"","parse-names":false,"suffix":""}],"container-title":"Ecosphere","id":"ITEM-3","issue":"October","issued":{"date-parts":[["2015"]]},"page":"1-16","title":"Changes in litter quality caused by simulated nitrogen deposition reinforce the N-induced suppression of litter decay","type":"article-journal","volume":"6"},"uris":["http://www.mendeley.com/documents/?uuid=1cc00e69-3703-4f3b-aa10-183d86bb0680"]},{"id":"ITEM-4","itemData":{"DOI":"10.1016/j.soilbio.2009.02.029","ISBN":"0038-0717","ISSN":"00380717","abstract":"The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Biochemistry","id":"ITEM-4","issue":"6","issued":{"date-parts":[["2009"]]},"page":"1180-1186","publisher":"Elsevier Ltd","title":"The influence of time, storage temperature, and substrate age on potential soil enzyme activity in acidic forest soils using MUB-linked substrates and l-DOPA","type":"article-journal","volume":"41"},"uris":["http://www.mendeley.com/documents/?uuid=2327e9c6-0489-430b-843c-848e6895f01a"]},{"id":"ITEM-5","itemData":{"DOI":"10.1128/AEM.01984-19","ISSN":"10985336","abstract":"As the range of bark beetles expands into new forests and woodlands, the need to understand their effects on multiple trophic levels becomes increasingly important. To date, much attention has been paid to the aboveground processes affected by bark beetle infestation, with a focus on photoautotrophs and ecosystem level processes. However, indirect effects of bark beetle on belowground processes, especially the structure and function of soil microbiota remains largely a black box. Our study examined the impacts of bark beetle-induced tree mortality on soil microbial community structure and function using high-throughput sequencing of the soil bacterial and fungal communities and measurements of extracellular enzyme activities. The results suggest bark beetle infestation affected edaphic conditions through increased soil water content, pH, electrical conductivity, and carbon/nitrogen ratio and altered bulk and rhizosphere soil microbial community structure and function. Finally, increased enzymatic activity suggests heightened microbial decomposition following bark beetle infestation. With this increase in enzymatic activity, nutrients trapped in organic substrates may become accessible to seedlings and potentially alter the trajectory of forest regeneration. Our results indicate the need for incorporation of microbial processes into ecosystem level models. IMPORTANCE Belowground impacts of bark beetle infestation have not been explored as thoroughly as their aboveground counterparts. In order to accurately model impacts of bark beetle-induced tree mortality on carbon and nutrient cycling and forest regeneration, the intricacies of soil microbial communities must be examined. In this study, we investigated the structure and function of soil bacterial and fungal communities following bark beetle infestation. Our results show bark beetle infestation to impact soil conditions, as well as soil microbial community structure and function.","author":[{"dropping-particle":"","family":"Custer","given":"Gordon F.","non-dropping-particle":"","parse-names":false,"suffix":""},{"dropping-particle":"","family":"VanDiepen","given":"Linda T.A.","non-dropping-particle":"","parse-names":false,"suffix":""},{"dropping-particle":"","family":"Stump","given":"William L.","non-dropping-particle":"","parse-names":false,"suffix":""}],"container-title":"Applied and Environmental Microbiology","editor":[{"dropping-particle":"","family":"Vieille","given":"Claire","non-dropping-particle":"","parse-names":false,"suffix":""}],"id":"ITEM-5","issue":"3","issued":{"date-parts":[["2020","11","15"]]},"page":"1-19","title":"Structural and functional dynamics of soil microbes following spruce beetle infestation","type":"article-journal","volume":"86"},"uris":["http://www.mendeley.com/documents/?uuid=176f6698-828c-4004-9cd3-96e4a879d754"]}],"mendeley":{"formattedCitation":"(29–33)","plainTextFormattedCitation":"(29–33)","previouslyFormattedCitation":"(29–33)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(29–33)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The enzymes measured include ß-glucosidase (BG), β-</w:t>
      </w:r>
      <w:proofErr w:type="spellStart"/>
      <w:r w:rsidRPr="00B3074D">
        <w:rPr>
          <w:rFonts w:ascii="Times New Roman" w:hAnsi="Times New Roman" w:cs="Times New Roman"/>
          <w:color w:val="000000" w:themeColor="text1"/>
        </w:rPr>
        <w:t>xylosidase</w:t>
      </w:r>
      <w:proofErr w:type="spellEnd"/>
      <w:r w:rsidRPr="00B3074D">
        <w:rPr>
          <w:rFonts w:ascii="Times New Roman" w:hAnsi="Times New Roman" w:cs="Times New Roman"/>
          <w:color w:val="000000" w:themeColor="text1"/>
        </w:rPr>
        <w:t xml:space="preserve"> (BX), α-glucosidase (AG), </w:t>
      </w:r>
      <w:proofErr w:type="spellStart"/>
      <w:r w:rsidRPr="00B3074D">
        <w:rPr>
          <w:rFonts w:ascii="Times New Roman" w:hAnsi="Times New Roman" w:cs="Times New Roman"/>
          <w:color w:val="000000" w:themeColor="text1"/>
        </w:rPr>
        <w:t>cellobiohydrolase</w:t>
      </w:r>
      <w:proofErr w:type="spellEnd"/>
      <w:r w:rsidRPr="00B3074D">
        <w:rPr>
          <w:rFonts w:ascii="Times New Roman" w:hAnsi="Times New Roman" w:cs="Times New Roman"/>
          <w:color w:val="000000" w:themeColor="text1"/>
        </w:rPr>
        <w:t xml:space="preserve"> (CBH), alkaline phosphatase (PHOS), N-acetyl-ß-</w:t>
      </w:r>
      <w:proofErr w:type="spellStart"/>
      <w:r w:rsidRPr="00B3074D">
        <w:rPr>
          <w:rFonts w:ascii="Times New Roman" w:hAnsi="Times New Roman" w:cs="Times New Roman"/>
          <w:color w:val="000000" w:themeColor="text1"/>
        </w:rPr>
        <w:t>glucosaminidase</w:t>
      </w:r>
      <w:proofErr w:type="spellEnd"/>
      <w:r w:rsidRPr="00B3074D">
        <w:rPr>
          <w:rFonts w:ascii="Times New Roman" w:hAnsi="Times New Roman" w:cs="Times New Roman"/>
          <w:color w:val="000000" w:themeColor="text1"/>
        </w:rPr>
        <w:t xml:space="preserve"> (NAG), and leucine aminopeptidase (LAP). A preliminary assay was performed using four different substrate concentrations (ranging from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to 4000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at five different measurement times (1, 2, 4, 6, 8 and 10 hours). This was done to ensure non-limiting substrate availability and maximum potential enzyme activity (Vmax)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{"citationItems":[{"id":"ITEM-1","itemData":{"DOI":"10.1016/j.soilbio.2011.03.017","ISSN":"00380717","abstract":"Microbial digestive enzymes in soil and litter have been studied for over a half century, yet the understanding of microbial enzymes as drivers of ecosystem processes remains hindered by methodological differences among researchers and laboratories. Modern techniques enable the comparison of enzyme activities from different sites and experiments, but most researchers do not optimize enzyme assay methods for their study sites, and thus may not properly assay potential enzyme activity. In this review, we characterize important procedural details of enzyme assays, and define the steps necessary to properly assay potential enzyme activities in environmental samples. We make the following recommendations to investigators measuring soil enzyme activities: 1) run enzyme assays at the environmental pH and temperature; 2) run proper standards, and if using fluorescent substrates with NaOH addition, use a standard time of 1 min between the addition of NaOH and reading in a fluorometer; 3) run enzyme assays under saturating substrate concentrations to ensure Vmax is being measured; 4) confirm that product is produced linearly over the duration of the assay; 5) examine whether mixing during the reaction is necessary to properly measure enzyme activity; 6) find the balance between dilution of soil homogenate and assay variation; and 7) ensure that enzyme activity values are properly calculated. These steps should help develop a unified understanding of enzyme activities in ecosystem ecology. © 2011 Elsevier Ltd.","author":[{"dropping-particle":"","family":"German","given":"Donovan P.","non-dropping-particle":"","parse-names":false,"suffix":""},{"dropping-particle":"","family":"Weintraub","given":"Michael N.","non-dropping-particle":"","parse-names":false,"suffix":""},{"dropping-particle":"","family":"Grandy","given":"A. Stuart","non-dropping-particle":"","parse-names":false,"suffix":""},{"dropping-particle":"","family":"Lauber","given":"Christian L.","non-dropping-particle":"","parse-names":false,"suffix":""},{"dropping-particle":"","family":"Rinkes","given":"Zachary L.","non-dropping-particle":"","parse-names":false,"suffix":""},{"dropping-particle":"","family":"Allison","given":"Steven D.","non-dropping-particle":"","parse-names":false,"suffix":""}],"container-title":"Soil Biology and Biochemistry","id":"ITEM-1","issue":"7","issued":{"date-parts":[["2011"]]},"page":"1387-1397","title":"Optimization of hydrolytic and oxidative enzyme methods for ecosystem studies","type":"article-journal","volume":"43"},"uris":["http://www.mendeley.com/documents/?uuid=479a2e2d-4968-412e-8c83-443f97e97450"]}],"mendeley":{"formattedCitation":"(34)","plainTextFormattedCitation":"(34)","previouslyFormattedCitation":"(34)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Three soil samples encompassing the expected variability in enzyme activity were used for these preliminary assays. Briefly, a soil slurry was created by homogenizing 1 g of soil with 100 ml of sodium acetate buffer (50 mM, pH 7.95) for 30 seconds using a Magic Bullet blender (Homeland Housewares LLC). </w:t>
      </w:r>
      <w:proofErr w:type="gramStart"/>
      <w:r w:rsidRPr="00B3074D">
        <w:rPr>
          <w:rFonts w:ascii="Times New Roman" w:hAnsi="Times New Roman" w:cs="Times New Roman"/>
          <w:color w:val="000000" w:themeColor="text1"/>
        </w:rPr>
        <w:t>In order to</w:t>
      </w:r>
      <w:proofErr w:type="gramEnd"/>
      <w:r w:rsidRPr="00B3074D">
        <w:rPr>
          <w:rFonts w:ascii="Times New Roman" w:hAnsi="Times New Roman" w:cs="Times New Roman"/>
          <w:color w:val="000000" w:themeColor="text1"/>
        </w:rPr>
        <w:t xml:space="preserve"> minimize difference between buffer and soil pH, we used a buffer pH 7.95 which represents the mean pH of all soil samples within 1 standard deviation. In a 96-well microplate,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soil slurry homogenate was combined with 50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substrate and incubated at 20 </w:t>
      </w:r>
      <w:r w:rsidRPr="00B3074D">
        <w:rPr>
          <w:rFonts w:ascii="Times New Roman" w:hAnsi="Times New Roman" w:cs="Times New Roman"/>
          <w:color w:val="000000" w:themeColor="text1"/>
        </w:rPr>
        <w:sym w:font="Symbol" w:char="F0B0"/>
      </w:r>
      <w:r w:rsidRPr="00B3074D">
        <w:rPr>
          <w:rFonts w:ascii="Times New Roman" w:hAnsi="Times New Roman" w:cs="Times New Roman"/>
          <w:color w:val="000000" w:themeColor="text1"/>
        </w:rPr>
        <w:t>C for 1-10 hours. Four technical replicates per soil sample were used to measure fluorescence after addition of substrates. Hydrolytic enzyme activity was measured via fluorescence on a SYNERGY HTX multi-mode reader (</w:t>
      </w:r>
      <w:proofErr w:type="spellStart"/>
      <w:r w:rsidRPr="00B3074D">
        <w:rPr>
          <w:rFonts w:ascii="Times New Roman" w:hAnsi="Times New Roman" w:cs="Times New Roman"/>
          <w:color w:val="000000" w:themeColor="text1"/>
        </w:rPr>
        <w:t>BioTek</w:t>
      </w:r>
      <w:proofErr w:type="spellEnd"/>
      <w:r w:rsidRPr="00B3074D">
        <w:rPr>
          <w:rFonts w:ascii="Times New Roman" w:hAnsi="Times New Roman" w:cs="Times New Roman"/>
          <w:color w:val="000000" w:themeColor="text1"/>
        </w:rPr>
        <w:sym w:font="Symbol" w:char="F0D2"/>
      </w:r>
      <w:r w:rsidRPr="00B3074D">
        <w:rPr>
          <w:rFonts w:ascii="Times New Roman" w:hAnsi="Times New Roman" w:cs="Times New Roman"/>
          <w:color w:val="000000" w:themeColor="text1"/>
        </w:rPr>
        <w:t xml:space="preserve"> Instruments Inc., Winooski, VT) at an excitation wavelength of 360 nm and an emission wavelength of 450 nm. Background fluorescence was corrected using a negative control (sample homogenate with buffer), as well as a quench control (sample homogenate with standards). This was done to correct for interference of soil particles with fluorescence intensity. Fluorescence conversions were based on measurements of standards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7-amido-4-methylcoumarin hydrochloride (AMC) for LAP and 4-methylumbelliferone (MUB) for BG, BX, AG, CBH, NAG, and PHOS. </w:t>
      </w:r>
      <w:r w:rsidRPr="00B3074D">
        <w:rPr>
          <w:rFonts w:ascii="Times New Roman" w:hAnsi="Times New Roman" w:cs="Times New Roman"/>
          <w:color w:val="000000" w:themeColor="text1"/>
          <w:shd w:val="clear" w:color="auto" w:fill="FFFFFF"/>
        </w:rPr>
        <w:t xml:space="preserve">Final enzyme activities were calculated using formulas outlined in </w:t>
      </w:r>
      <w:proofErr w:type="spellStart"/>
      <w:r w:rsidRPr="00B3074D">
        <w:rPr>
          <w:rFonts w:ascii="Times New Roman" w:hAnsi="Times New Roman" w:cs="Times New Roman"/>
          <w:color w:val="000000" w:themeColor="text1"/>
          <w:shd w:val="clear" w:color="auto" w:fill="FFFFFF"/>
        </w:rPr>
        <w:t>DeForest</w:t>
      </w:r>
      <w:proofErr w:type="spellEnd"/>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Biochemistry","id":"ITEM-1","issue":"6","issued":{"date-parts":[["2009"]]},"page":"1180-1186","publisher":"Elsevier Ltd","title":"The influence of time, storage temperature, and substrate age on potential soil enzyme activity in acidic forest soils using MUB-linked substrates and l-DOPA","type":"article-journal","volume":"41"},"suppress-author":1,"uris":["http://www.mendeley.com/documents/?uuid=2327e9c6-0489-430b-843c-848e6895f01a"]}],"mendeley":{"formattedCitation":"(32)","plainTextFormattedCitation":"(32)","previouslyFormattedCitation":"(32)"},"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(32)</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were </w:t>
      </w:r>
      <w:r w:rsidRPr="00B3074D">
        <w:rPr>
          <w:rFonts w:ascii="Times New Roman" w:hAnsi="Times New Roman" w:cs="Times New Roman"/>
          <w:color w:val="000000" w:themeColor="text1"/>
          <w:shd w:val="clear" w:color="auto" w:fill="FFFFFF"/>
        </w:rPr>
        <w:lastRenderedPageBreak/>
        <w:t>reported as nmol of substrate converted per hour per g soil dry mass (nmol h</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 g</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rPr>
        <w:t xml:space="preserve"> The incubation time and substrate concentration, from the preliminary assay, producing the highest average enzyme activity were selected for each enzyme. This resulted in a single substrate concentration and incubation time to be used for each enzyme across all samples for final enzyme assays. Final enzyme assays for all samples were done in a similar manner as the preliminary assays but using the substrate concentration and incubation time that resulted in the maximum potential enzyme activity (Vmax). One sample from each plot was used for enzyme analysis for a total of 20 sample at each time point and 60 samples across the three time points. </w:t>
      </w:r>
    </w:p>
    <w:p w14:paraId="4F39C1D2" w14:textId="0AFF7CDF"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Soil microbiome analysis</w:t>
      </w:r>
      <w:r w:rsidRPr="00B3074D">
        <w:rPr>
          <w:rFonts w:ascii="Times New Roman" w:hAnsi="Times New Roman" w:cs="Times New Roman"/>
          <w:color w:val="000000" w:themeColor="text1"/>
          <w:shd w:val="clear" w:color="auto" w:fill="FFFFFF"/>
        </w:rPr>
        <w:t xml:space="preserve"> </w:t>
      </w:r>
    </w:p>
    <w:p w14:paraId="75CD85E7" w14:textId="61C62ED5"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Subsamples of the same soils used for edaphic measurements were extracted using </w:t>
      </w:r>
      <w:proofErr w:type="spellStart"/>
      <w:r w:rsidRPr="00B3074D">
        <w:rPr>
          <w:rFonts w:ascii="Times New Roman" w:hAnsi="Times New Roman" w:cs="Times New Roman"/>
          <w:color w:val="000000" w:themeColor="text1"/>
          <w:shd w:val="clear" w:color="auto" w:fill="FFFFFF"/>
        </w:rPr>
        <w:t>PowerSoil</w:t>
      </w:r>
      <w:proofErr w:type="spellEnd"/>
      <w:r w:rsidRPr="00B3074D">
        <w:rPr>
          <w:rFonts w:ascii="Times New Roman" w:hAnsi="Times New Roman" w:cs="Times New Roman"/>
          <w:color w:val="000000" w:themeColor="text1"/>
          <w:shd w:val="clear" w:color="auto" w:fill="FFFFFF"/>
        </w:rPr>
        <w:t xml:space="preserve"> extraction kits (</w:t>
      </w:r>
      <w:r w:rsidRPr="00B3074D">
        <w:rPr>
          <w:rFonts w:ascii="Times New Roman" w:hAnsi="Times New Roman" w:cs="Times New Roman"/>
          <w:color w:val="000000" w:themeColor="text1"/>
        </w:rPr>
        <w:t>MO BIO, Carlsbad, CA</w:t>
      </w:r>
      <w:r w:rsidRPr="00B3074D">
        <w:rPr>
          <w:rFonts w:ascii="Times New Roman" w:hAnsi="Times New Roman" w:cs="Times New Roman"/>
          <w:color w:val="000000" w:themeColor="text1"/>
          <w:shd w:val="clear" w:color="auto" w:fill="FFFFFF"/>
        </w:rPr>
        <w:t>)</w:t>
      </w:r>
      <w:r w:rsidR="009F391E">
        <w:rPr>
          <w:rFonts w:ascii="Times New Roman" w:hAnsi="Times New Roman" w:cs="Times New Roman"/>
          <w:color w:val="000000" w:themeColor="text1"/>
          <w:shd w:val="clear" w:color="auto" w:fill="FFFFFF"/>
        </w:rPr>
        <w:t xml:space="preserve"> according to manufacturer’s instructions. Both the soil and </w:t>
      </w:r>
      <w:proofErr w:type="spellStart"/>
      <w:r w:rsidR="009F391E">
        <w:rPr>
          <w:rFonts w:ascii="Times New Roman" w:hAnsi="Times New Roman" w:cs="Times New Roman"/>
          <w:color w:val="000000" w:themeColor="text1"/>
          <w:shd w:val="clear" w:color="auto" w:fill="FFFFFF"/>
        </w:rPr>
        <w:t>phyllosphere</w:t>
      </w:r>
      <w:proofErr w:type="spellEnd"/>
      <w:r w:rsidR="009F391E">
        <w:rPr>
          <w:rFonts w:ascii="Times New Roman" w:hAnsi="Times New Roman" w:cs="Times New Roman"/>
          <w:color w:val="000000" w:themeColor="text1"/>
          <w:shd w:val="clear" w:color="auto" w:fill="FFFFFF"/>
        </w:rPr>
        <w:t xml:space="preserve"> DNA extracts were</w:t>
      </w:r>
      <w:r w:rsidRPr="00B3074D">
        <w:rPr>
          <w:rFonts w:ascii="Times New Roman" w:hAnsi="Times New Roman" w:cs="Times New Roman"/>
          <w:color w:val="000000" w:themeColor="text1"/>
          <w:shd w:val="clear" w:color="auto" w:fill="FFFFFF"/>
        </w:rPr>
        <w:t xml:space="preserve"> </w:t>
      </w:r>
      <w:r w:rsidR="009F391E">
        <w:rPr>
          <w:rFonts w:ascii="Times New Roman" w:hAnsi="Times New Roman" w:cs="Times New Roman"/>
          <w:color w:val="000000" w:themeColor="text1"/>
          <w:shd w:val="clear" w:color="auto" w:fill="FFFFFF"/>
        </w:rPr>
        <w:t xml:space="preserve">stored at </w:t>
      </w:r>
      <w:r w:rsidR="009F391E" w:rsidRPr="00B3074D">
        <w:rPr>
          <w:rFonts w:ascii="Times New Roman" w:hAnsi="Times New Roman" w:cs="Times New Roman"/>
          <w:color w:val="000000" w:themeColor="text1"/>
          <w:shd w:val="clear" w:color="auto" w:fill="FFFFFF"/>
        </w:rPr>
        <w:t xml:space="preserve">-20 </w:t>
      </w:r>
      <w:r w:rsidR="009F391E" w:rsidRPr="00B3074D">
        <w:rPr>
          <w:rFonts w:ascii="Times New Roman" w:hAnsi="Times New Roman" w:cs="Times New Roman"/>
          <w:color w:val="000000" w:themeColor="text1"/>
          <w:shd w:val="clear" w:color="auto" w:fill="FFFFFF"/>
        </w:rPr>
        <w:sym w:font="Symbol" w:char="F0B0"/>
      </w:r>
      <w:r w:rsidR="009F391E" w:rsidRPr="00B3074D">
        <w:rPr>
          <w:rFonts w:ascii="Times New Roman" w:hAnsi="Times New Roman" w:cs="Times New Roman"/>
          <w:color w:val="000000" w:themeColor="text1"/>
          <w:shd w:val="clear" w:color="auto" w:fill="FFFFFF"/>
        </w:rPr>
        <w:t xml:space="preserve">C </w:t>
      </w:r>
      <w:r w:rsidR="009F391E">
        <w:rPr>
          <w:rFonts w:ascii="Times New Roman" w:hAnsi="Times New Roman" w:cs="Times New Roman"/>
          <w:color w:val="000000" w:themeColor="text1"/>
          <w:shd w:val="clear" w:color="auto" w:fill="FFFFFF"/>
        </w:rPr>
        <w:t xml:space="preserve">until PCR and library preparation could be performed. </w:t>
      </w:r>
    </w:p>
    <w:p w14:paraId="6896EF58" w14:textId="0F0FD2D5" w:rsid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Both bacterial (16S) and fungal (internal transcribed spacer; ITS) amplicon libraries were prepared in the same fashion, though different primers were used to amplify each region. In order to amplify the V4 region of the bacterial 16S rRNA gene the modified </w:t>
      </w:r>
      <w:r w:rsidRPr="00B3074D">
        <w:rPr>
          <w:rFonts w:ascii="Times New Roman" w:hAnsi="Times New Roman" w:cs="Times New Roman"/>
          <w:color w:val="000000" w:themeColor="text1"/>
          <w:spacing w:val="-1"/>
          <w:shd w:val="clear" w:color="auto" w:fill="FFFFFF"/>
        </w:rPr>
        <w:t>515F (5’-GTGYCAGCMGCCGC GGTAA-3’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 xml:space="preserve">ADDIN CSL_CITATION {"citationItems":[{"id":"ITEM-1","itemData":{"DOI":"10.1111/1462-2920.13023","ISBN":"1462-2920","ISSN":"14622920","PMID":"26271760","abstract":"Microbial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 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 xml:space="preserve"> 0.5). Unexpectedly, biases with 515F-Y/806R against SAR11 in field samples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4–10- fold) were stronger than in mock communities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 xml:space="preserve">2- fold). Correcting a mismatch to Thaumarchaea in the 515F-C increased their apparent abundance in field samples, but not as much as using 926R rather than 806R. With plankton samples rich in eukaryotic DNA (&gt; 1 \u0004m size fraction), 18S sequences averaged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17% of all sequences. A single mismatch can strongly bias amplification, but even perfectly matched primers can exhibit preferential amplification. We show that beyond in silico predictions, testing with mock communities and field samples is important in primer selection.","author":[{"dropping-particle":"","family":"Parada","given":"Alma E.","non-dropping-particle":"","parse-names":false,"suffix":""},{"dropping-particle":"","family":"Needham","given":"David M.","non-dropping-particle":"","parse-names":false,"suffix":""},{"dropping-particle":"","family":"Fuhrman","given":"Jed A.","non-dropping-particle":"","parse-names":false,"suffix":""}],"container-title":"Environmental Microbiology","id":"ITEM-1","issue":"5","issued":{"date-parts":[["2016"]]},"page":"1403-1414","title":"Every base matters: Assessing small subunit rRNA primers for marine microbiomes with mock communities, time series and global field samples","type":"article-journal","volume":"18"},"uris":["http://www.mendeley.com/documents/?uuid=65fef975-3787-4d90-898a-53b057f0670f"]}],"mendeley":{"formattedCitation":"(35)","plainTextFormattedCitation":"(35)","previouslyFormattedCitation":"(35)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806R (5’-GGACTACNVGGGTWTCTAAT-3’)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{"citationItems":[{"id":"ITEM-1","itemData":{"DOI":"10.3354/ame01753","ISBN":"0948-3055","ISSN":"09483055","abstract":"High-throughput sequencing of small subunit ribosomal RNA (SSU rRNA) genes from marine environments is a widely applied method used to uncover the composition of micro- bial communities. We conducted an analysis of surface ocean waters with the commonly employed hypervariable 4 region SSU rRNA gene primers 515F and 806R, and found that bacteria belonging to the SAR11 clade of Alphaproteobacteria, a group typically making up 20 to 40% of the bacterioplankton in this environment, were greatly underrepresented and comprised &lt;4% of the total community. Using the SILVA reference database, we found a single nucleotide mismatch to nearly all SAR11 subclades, and revised the 806R primer so that it increased the detection of SAR11 clade sequences in the database from 2.6 to 96.7%. We then compared the performance of the original and revised 806R primers in surface seawater samples, and found that SAR11 com- prised 0.3 to 3.9% of sequences with the original primers and 17.5 to 30.5% of the sequences with the revised 806R primer. Furthermore, an investigation of seawater obtained from aquaria re - vealed that SAR11 sequences acquired with the revised 806R primer were more similar to natural cellular abundances of SAR11 detected using fluorescence in situ hybridization counts. Collectively, these results demonstrate that a minor adjustment to the 806R primer will greatly increase detec- tion of the globally abundant SAR11 clade in marine and lake environments, and enable inclusion of this important bacterial lineage in experimental and environmental-based studies.","author":[{"dropping-particle":"","family":"Apprill","given":"Amy","non-dropping-particle":"","parse-names":false,"suffix":""},{"dropping-particle":"","family":"Mcnally","given":"Sean","non-dropping-particle":"","parse-names":false,"suffix":""},{"dropping-particle":"","family":"Parsons","given":"Rachel","non-dropping-particle":"","parse-names":false,"suffix":""},{"dropping-particle":"","family":"Weber","given":"Laura","non-dropping-particle":"","parse-names":false,"suffix":""}],"container-title":"Aquatic Microbial Ecology","id":"ITEM-1","issue":"2","issued":{"date-parts":[["2015"]]},"page":"129-137","title":"Minor revision to V4 region SSU rRNA 806R gene primer greatly increases detection of SAR11 bacterioplankton","type":"article-journal","volume":"75"},"uris":["http://www.mendeley.com/documents/?uuid=0d8a431c-2886-4e52-9d95-c3b4e2e80792"]}],"mendeley":{"formattedCitation":"(36)","plainTextFormattedCitation":"(36)","previouslyFormattedCitation":"(36)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For the ITS1 region of the fungal genome, the primers </w:t>
      </w:r>
      <w:r w:rsidRPr="00B3074D">
        <w:rPr>
          <w:rFonts w:ascii="Times New Roman" w:hAnsi="Times New Roman" w:cs="Times New Roman"/>
          <w:color w:val="000000" w:themeColor="text1"/>
          <w:spacing w:val="-1"/>
          <w:shd w:val="clear" w:color="auto" w:fill="FFFFFF"/>
        </w:rPr>
        <w:t>ITS1F (5'-CTTGGTCATTTAGAGGAAGTAA-3')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{"citationItems":[{"id":"ITEM-1","itemData":{"DOI":"10.1111/j.1365-294X.1993.tb00005.x","ISSN":"1365294X","PMID":"8180733","abstract":"We have designed two taxon‐selective primers for the internal transcribed spacer (ITS) region in the nuclear ribosomal repeat unit. These primers, ITS1‐F and ITS4‐B, were intended to be specific to fungi and basidiomycetes, respectively. We have tested the specificity of these primers against 13 species of ascomycetes, 14 of basidiomycetes, and 15 of plants. Our results showed that ITS4‐B, when paired with either a ‘universal’ primer ITS1 or the fungal‐specific primer ITS1‐F, efficiently amplified DNA from all basidiomycetes and discriminated against ascomycete DNAs. The results with plants were not as clearcut. The ITS1‐F/ITS4‐B primer pair produced a small amount of PCR product for certain plant species, but the quantity was in most cases less than that produced by the ‘universal’ ITS primers. However, under conditions where both plant and fungal DNAs were present, the fungal DNA was amplified to the apparent exclusion of plant DNA. ITS1‐F/ITS4‐B preferential amplification was shown to be particularly useful for detection and analysis of the basidiomycete component in ectomycorrhizae and in rust‐infected tissues. These primers can be used to study the structure of ectomycorrhizal communities or the distribution of rusts on alternate hosts. Copyright © 1993, Wiley Blackwell. All rights reserved","author":[{"dropping-particle":"","family":"Gardes","given":"M.","non-dropping-particle":"","parse-names":false,"suffix":""},{"dropping-particle":"","family":"Bruns","given":"T.D.","non-dropping-particle":"","parse-names":false,"suffix":""}],"container-title":"Molecular Ecology","id":"ITEM-1","issue":"2","issued":{"date-parts":[["1993"]]},"page":"113-118","title":"ITS primers with enhanced specificity for basidiomycetes ‐ application to the identification of mycorrhizae and rusts","type":"article-journal","volume":"2"},"uris":["http://www.mendeley.com/documents/?uuid=7e9bcdbd-4b50-4480-b8a2-1c1ea6061b3e"]}],"mendeley":{"formattedCitation":"(37)","plainTextFormattedCitation":"(37)","previouslyFormattedCitation":"(37)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ITS2 (3'-CGTAGCTACTTCTTGCGTCG-5')</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{"citationItems":[{"id":"ITEM-1","itemData":{"DOI":"10.1016/B978-0-12-372180-8.50042-1","ISBN":"008088671X","ISSN":"01689452","PMID":"1793","abstract":"White, T.J., T. Bruns, S. Lee, and J.W. Taylor. 1990. Amplification and direct sequencing of fungal ribosomal RNA genes for phylogenetics. Pp. 315-322 PCR Protocols: A Guide to Methods and Applications, eds. Innis, M.A., D.H. Gelfand, J.J. Sninsky, and T.J. White. Academic Press, Inc., New York.","author":[{"dropping-particle":"","family":"White","given":"T.J.","non-dropping-particle":"","parse-names":false,"suffix":""},{"dropping-particle":"","family":"Bruns","given":"T.","non-dropping-particle":"","parse-names":false,"suffix":""},{"dropping-particle":"","family":"Lee","given":"S.","non-dropping-particle":"","parse-names":false,"suffix":""},{"dropping-particle":"","family":"Taylor","given":"J.","non-dropping-particle":"","parse-names":false,"suffix":""}],"container-title":"PCR Protocols","id":"ITEM-1","issue":"January","issued":{"date-parts":[["1990"]]},"page":"315-322","publisher":"Elsevier","title":"Amplification and direct sequencing of fungal ribosomal RNA genes for phylogenetics","type":"chapter"},"uris":["http://www.mendeley.com/documents/?uuid=dd4605db-4e8d-4628-9622-570edf1fc495"]}],"mendeley":{"formattedCitation":"(38)","plainTextFormattedCitation":"(38)","previouslyFormattedCitation":"(38)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Environmental DNA (eDNA) was normalized to 10 ng/</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prior to amplification. The 15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reactions contained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5x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PCR buffer (Roche, Basel, Switzerland),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3.25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6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appropriately paired barcoded primers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forward </w:t>
      </w:r>
      <w:r w:rsidRPr="00B3074D">
        <w:rPr>
          <w:rFonts w:ascii="Times New Roman" w:hAnsi="Times New Roman" w:cs="Times New Roman"/>
          <w:color w:val="000000" w:themeColor="text1"/>
        </w:rPr>
        <w:lastRenderedPageBreak/>
        <w:t xml:space="preserve">and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reverse), and 2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the diluted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eDNA sample. In a two-step process, eDNA was amplified and barcoded, then </w:t>
      </w:r>
      <w:proofErr w:type="spellStart"/>
      <w:r w:rsidRPr="00B3074D">
        <w:rPr>
          <w:rFonts w:ascii="Times New Roman" w:hAnsi="Times New Roman" w:cs="Times New Roman"/>
          <w:color w:val="000000" w:themeColor="text1"/>
        </w:rPr>
        <w:t>Illumnia</w:t>
      </w:r>
      <w:proofErr w:type="spellEnd"/>
      <w:r w:rsidRPr="00B3074D">
        <w:rPr>
          <w:rFonts w:ascii="Times New Roman" w:hAnsi="Times New Roman" w:cs="Times New Roman"/>
          <w:color w:val="000000" w:themeColor="text1"/>
        </w:rPr>
        <w:t xml:space="preserve"> adaptors were added. In the amplification and barcoding step, the following PCR conditions were used:  95 </w:t>
      </w:r>
      <w:r w:rsidRPr="00B3074D">
        <w:rPr>
          <w:rFonts w:ascii="Times New Roman" w:hAnsi="Times New Roman" w:cs="Times New Roman"/>
          <w:color w:val="000000" w:themeColor="text1"/>
        </w:rPr>
        <w:sym w:font="Symbol" w:char="00B0"/>
      </w:r>
      <w:proofErr w:type="gramStart"/>
      <w:r w:rsidRPr="00B3074D">
        <w:rPr>
          <w:rFonts w:ascii="Times New Roman" w:hAnsi="Times New Roman" w:cs="Times New Roman"/>
          <w:color w:val="000000" w:themeColor="text1"/>
        </w:rPr>
        <w:t>C  for</w:t>
      </w:r>
      <w:proofErr w:type="gramEnd"/>
      <w:r w:rsidRPr="00B3074D">
        <w:rPr>
          <w:rFonts w:ascii="Times New Roman" w:hAnsi="Times New Roman" w:cs="Times New Roman"/>
          <w:color w:val="000000" w:themeColor="text1"/>
        </w:rPr>
        <w:t xml:space="preserve"> 3 min (1 cycle), 15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62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was performed in duplicate for each sample and combined to limit PCR biases. PCR products were cleaned using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according to manufacturer instructions without addition of TE buffer (</w:t>
      </w:r>
      <w:proofErr w:type="spellStart"/>
      <w:r w:rsidRPr="00B3074D">
        <w:rPr>
          <w:rFonts w:ascii="Times New Roman" w:hAnsi="Times New Roman" w:cs="Times New Roman"/>
          <w:color w:val="000000" w:themeColor="text1"/>
        </w:rPr>
        <w:t>Axygen</w:t>
      </w:r>
      <w:proofErr w:type="spellEnd"/>
      <w:r w:rsidRPr="00B3074D">
        <w:rPr>
          <w:rFonts w:ascii="Times New Roman" w:hAnsi="Times New Roman" w:cs="Times New Roman"/>
          <w:color w:val="000000" w:themeColor="text1"/>
        </w:rPr>
        <w:t xml:space="preserve"> Biosciences, Union City, CA). In the second step of the PCR, Illumina barcodes were added to our DNA samples. Each reaction in this step </w:t>
      </w:r>
      <w:proofErr w:type="gramStart"/>
      <w:r w:rsidRPr="00B3074D">
        <w:rPr>
          <w:rFonts w:ascii="Times New Roman" w:hAnsi="Times New Roman" w:cs="Times New Roman"/>
          <w:color w:val="000000" w:themeColor="text1"/>
        </w:rPr>
        <w:t>consist</w:t>
      </w:r>
      <w:proofErr w:type="gramEnd"/>
      <w:r w:rsidRPr="00B3074D">
        <w:rPr>
          <w:rFonts w:ascii="Times New Roman" w:hAnsi="Times New Roman" w:cs="Times New Roman"/>
          <w:color w:val="000000" w:themeColor="text1"/>
        </w:rPr>
        <w:t xml:space="preserve"> of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cleaned PCR product from the first step and 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mastermix</w:t>
      </w:r>
      <w:proofErr w:type="spellEnd"/>
      <w:r w:rsidRPr="00B3074D">
        <w:rPr>
          <w:rFonts w:ascii="Times New Roman" w:hAnsi="Times New Roman" w:cs="Times New Roman"/>
          <w:color w:val="000000" w:themeColor="text1"/>
        </w:rPr>
        <w:t xml:space="preserve"> consisting of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5x Phusion HF buffer (Thermo Fisher Scientific, Waltham, MA, USA),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0.5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M forward (</w:t>
      </w:r>
      <w:r w:rsidRPr="00B3074D">
        <w:rPr>
          <w:rFonts w:ascii="Times New Roman" w:hAnsi="Times New Roman" w:cs="Times New Roman"/>
          <w:color w:val="000000" w:themeColor="text1"/>
          <w:spacing w:val="-1"/>
          <w:shd w:val="clear" w:color="auto" w:fill="FFFFFF"/>
        </w:rPr>
        <w:t>AATGATACGGCGACCACCGAGATCTACACTCGTCGGCAGCGTC</w:t>
      </w:r>
      <w:r w:rsidRPr="00B3074D">
        <w:rPr>
          <w:rFonts w:ascii="Times New Roman" w:hAnsi="Times New Roman" w:cs="Times New Roman"/>
          <w:color w:val="000000" w:themeColor="text1"/>
        </w:rPr>
        <w:t>) and reverse (</w:t>
      </w:r>
      <w:r w:rsidRPr="00B3074D">
        <w:rPr>
          <w:rFonts w:ascii="Times New Roman" w:hAnsi="Times New Roman" w:cs="Times New Roman"/>
          <w:color w:val="000000" w:themeColor="text1"/>
          <w:spacing w:val="-1"/>
          <w:shd w:val="clear" w:color="auto" w:fill="FFFFFF"/>
        </w:rPr>
        <w:t>CAAGCAGAAGACGGCATACGAGATGTCTCGTGGGCTCGG</w:t>
      </w:r>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primers, and 0.75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In the Illumina adaptor addition step, the following PCR conditions were used:  95 </w:t>
      </w:r>
      <w:r w:rsidRPr="00B3074D">
        <w:rPr>
          <w:rFonts w:ascii="Times New Roman" w:hAnsi="Times New Roman" w:cs="Times New Roman"/>
          <w:color w:val="000000" w:themeColor="text1"/>
        </w:rPr>
        <w:sym w:font="Symbol" w:char="00B0"/>
      </w:r>
      <w:proofErr w:type="gramStart"/>
      <w:r w:rsidRPr="00B3074D">
        <w:rPr>
          <w:rFonts w:ascii="Times New Roman" w:hAnsi="Times New Roman" w:cs="Times New Roman"/>
          <w:color w:val="000000" w:themeColor="text1"/>
        </w:rPr>
        <w:t>C  for</w:t>
      </w:r>
      <w:proofErr w:type="gramEnd"/>
      <w:r w:rsidRPr="00B3074D">
        <w:rPr>
          <w:rFonts w:ascii="Times New Roman" w:hAnsi="Times New Roman" w:cs="Times New Roman"/>
          <w:color w:val="000000" w:themeColor="text1"/>
        </w:rPr>
        <w:t xml:space="preserve"> 3 min (1 cycle), 19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55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products from the second step were cleaned using GSAF’s modified </w:t>
      </w:r>
      <w:proofErr w:type="spellStart"/>
      <w:r w:rsidRPr="00B3074D">
        <w:rPr>
          <w:rFonts w:ascii="Times New Roman" w:hAnsi="Times New Roman" w:cs="Times New Roman"/>
          <w:color w:val="000000" w:themeColor="text1"/>
        </w:rPr>
        <w:t>MagBead</w:t>
      </w:r>
      <w:proofErr w:type="spellEnd"/>
      <w:r w:rsidRPr="00B3074D">
        <w:rPr>
          <w:rFonts w:ascii="Times New Roman" w:hAnsi="Times New Roman" w:cs="Times New Roman"/>
          <w:color w:val="000000" w:themeColor="text1"/>
        </w:rPr>
        <w:t xml:space="preserve"> protocol and the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Following cleaning, sample concentration was checked using a Synergy HTX Take 3 trio plate reader. Samples DNA concentrations were then normalized and combined, and the final library concentration was checked using qPCR. The final library was sent for sequencing at </w:t>
      </w:r>
      <w:proofErr w:type="spellStart"/>
      <w:r w:rsidRPr="00B3074D">
        <w:rPr>
          <w:rFonts w:ascii="Times New Roman" w:hAnsi="Times New Roman" w:cs="Times New Roman"/>
          <w:color w:val="000000" w:themeColor="text1"/>
        </w:rPr>
        <w:t>Psomagen</w:t>
      </w:r>
      <w:proofErr w:type="spellEnd"/>
      <w:r w:rsidRPr="00B3074D">
        <w:rPr>
          <w:rFonts w:ascii="Times New Roman" w:hAnsi="Times New Roman" w:cs="Times New Roman"/>
          <w:color w:val="000000" w:themeColor="text1"/>
        </w:rPr>
        <w:t xml:space="preserve"> genomic sequencing and analysis facility (Rockville, MD) on their NovaSeq6000 using paired end 2 x 250 bp chemistry with a 10% </w:t>
      </w:r>
      <w:proofErr w:type="spellStart"/>
      <w:r w:rsidRPr="00B3074D">
        <w:rPr>
          <w:rFonts w:ascii="Times New Roman" w:hAnsi="Times New Roman" w:cs="Times New Roman"/>
          <w:color w:val="000000" w:themeColor="text1"/>
        </w:rPr>
        <w:t>PhiX</w:t>
      </w:r>
      <w:proofErr w:type="spellEnd"/>
      <w:r w:rsidRPr="00B3074D">
        <w:rPr>
          <w:rFonts w:ascii="Times New Roman" w:hAnsi="Times New Roman" w:cs="Times New Roman"/>
          <w:color w:val="000000" w:themeColor="text1"/>
        </w:rPr>
        <w:t xml:space="preserve"> spike in. Both the fungal and bacterial libraries we sequenced together on a single lane and </w:t>
      </w:r>
      <w:r w:rsidR="002F4D3B">
        <w:rPr>
          <w:rFonts w:ascii="Times New Roman" w:hAnsi="Times New Roman" w:cs="Times New Roman"/>
          <w:color w:val="000000" w:themeColor="text1"/>
        </w:rPr>
        <w:t>were</w:t>
      </w:r>
      <w:r w:rsidRPr="00B3074D">
        <w:rPr>
          <w:rFonts w:ascii="Times New Roman" w:hAnsi="Times New Roman" w:cs="Times New Roman"/>
          <w:color w:val="000000" w:themeColor="text1"/>
        </w:rPr>
        <w:t xml:space="preserve"> separated bioinformatically. </w:t>
      </w:r>
    </w:p>
    <w:p w14:paraId="7A64AF06" w14:textId="7CC60ACB" w:rsidR="009F391E" w:rsidRDefault="009F391E" w:rsidP="009F391E">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lastRenderedPageBreak/>
        <w:t xml:space="preserve">Bioinformatic processing of sequence </w:t>
      </w:r>
      <w:commentRangeStart w:id="4"/>
      <w:r>
        <w:rPr>
          <w:rFonts w:ascii="Times New Roman" w:hAnsi="Times New Roman" w:cs="Times New Roman"/>
          <w:i/>
          <w:iCs/>
          <w:color w:val="000000" w:themeColor="text1"/>
        </w:rPr>
        <w:t>data</w:t>
      </w:r>
      <w:commentRangeEnd w:id="4"/>
      <w:r>
        <w:rPr>
          <w:rStyle w:val="CommentReference"/>
          <w:rFonts w:ascii="Times New Roman" w:eastAsia="Times New Roman" w:hAnsi="Times New Roman" w:cs="Times New Roman"/>
          <w:color w:val="000000"/>
          <w:lang w:eastAsia="de-DE"/>
        </w:rPr>
        <w:commentReference w:id="4"/>
      </w:r>
    </w:p>
    <w:p w14:paraId="5499081A" w14:textId="77777777" w:rsidR="009F391E" w:rsidRPr="009F391E" w:rsidRDefault="009F391E" w:rsidP="009F391E">
      <w:pPr>
        <w:spacing w:line="480" w:lineRule="auto"/>
        <w:rPr>
          <w:rFonts w:ascii="Times New Roman" w:hAnsi="Times New Roman" w:cs="Times New Roman"/>
          <w:color w:val="000000" w:themeColor="text1"/>
        </w:rPr>
      </w:pPr>
    </w:p>
    <w:p w14:paraId="0168E9B3"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i/>
          <w:iCs/>
          <w:color w:val="000000" w:themeColor="text1"/>
          <w:shd w:val="clear" w:color="auto" w:fill="FFFFFF"/>
        </w:rPr>
        <w:t>Statistical analysis</w:t>
      </w:r>
      <w:r w:rsidRPr="00B3074D">
        <w:rPr>
          <w:rFonts w:ascii="Times New Roman" w:hAnsi="Times New Roman" w:cs="Times New Roman"/>
          <w:color w:val="000000" w:themeColor="text1"/>
          <w:shd w:val="clear" w:color="auto" w:fill="FFFFFF"/>
        </w:rPr>
        <w:t xml:space="preserve"> </w:t>
      </w:r>
    </w:p>
    <w:p w14:paraId="30DA2CA1" w14:textId="6EC12E6C"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While soil samples collected from within the same treatment plot could be considered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and would violate the assumption of independent observations, we argue that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is scale dependent, and the scale that microbes operate on would allow us to assume independence among samples that were collected from the same treatment plot. With aboveground vegetation being a driver of belowground function and vegetation being heterogeneous meter to meter within a single treatment plot, we decided to treat each composite soil sample as an independent sample instead of averaging samples within a plot and losing the ability to assess variation within a treatment plot.</w:t>
      </w:r>
      <w:r w:rsidR="007C3D52" w:rsidRPr="007C3D52">
        <w:rPr>
          <w:rFonts w:ascii="Times New Roman" w:hAnsi="Times New Roman" w:cs="Times New Roman"/>
        </w:rPr>
        <w:t xml:space="preserve"> </w:t>
      </w:r>
      <w:r w:rsidR="007C3D52" w:rsidRPr="00B3074D">
        <w:rPr>
          <w:rFonts w:ascii="Times New Roman" w:hAnsi="Times New Roman" w:cs="Times New Roman"/>
        </w:rPr>
        <w:t xml:space="preserve">All statistical analyses were carried out in R </w:t>
      </w:r>
      <w:r w:rsidR="002F4D3B">
        <w:rPr>
          <w:rFonts w:ascii="Times New Roman" w:hAnsi="Times New Roman" w:cs="Times New Roman"/>
        </w:rPr>
        <w:t>V4.1.1</w:t>
      </w:r>
      <w:r w:rsidR="006F4CAD">
        <w:rPr>
          <w:rFonts w:ascii="Times New Roman" w:hAnsi="Times New Roman" w:cs="Times New Roman"/>
        </w:rPr>
        <w:t xml:space="preserve"> - “</w:t>
      </w:r>
      <w:r w:rsidR="002F4D3B">
        <w:rPr>
          <w:rFonts w:ascii="Times New Roman" w:hAnsi="Times New Roman" w:cs="Times New Roman"/>
        </w:rPr>
        <w:t>Kick Things</w:t>
      </w:r>
      <w:r w:rsidR="006F4CAD">
        <w:rPr>
          <w:rFonts w:ascii="Times New Roman" w:hAnsi="Times New Roman" w:cs="Times New Roman"/>
        </w:rPr>
        <w:t>”</w:t>
      </w:r>
      <w:r w:rsidR="007C3D52" w:rsidRPr="00B3074D">
        <w:rPr>
          <w:rFonts w:ascii="Times New Roman" w:hAnsi="Times New Roman" w:cs="Times New Roman"/>
        </w:rPr>
        <w:t xml:space="preserve"> </w:t>
      </w:r>
      <w:r w:rsidR="007C3D52" w:rsidRPr="00B3074D">
        <w:rPr>
          <w:rFonts w:ascii="Times New Roman" w:hAnsi="Times New Roman" w:cs="Times New Roman"/>
        </w:rPr>
        <w:fldChar w:fldCharType="begin" w:fldLock="1"/>
      </w:r>
      <w:r w:rsidR="00B92C04">
        <w:rPr>
          <w:rFonts w:ascii="Times New Roman" w:hAnsi="Times New Roman" w:cs="Times New Roman"/>
        </w:rPr>
        <w:instrText>ADDIN CSL_CITATION {"citationItems":[{"id":"ITEM-1","itemData":{"author":[{"dropping-particle":"","family":"R Development Core Team","given":"","non-dropping-particle":"","parse-names":false,"suffix":""}],"container-title":"R Foundation for Statistical Computing","id":"ITEM-1","issued":{"date-parts":[["2020"]]},"publisher-place":"Vienna, Austria","title":"A Language and Environment for Statistical Computing","type":"article"},"uris":["http://www.mendeley.com/documents/?uuid=acdf66e7-899d-435d-a8e8-a56f50a01c98"]}],"mendeley":{"formattedCitation":"(39)","plainTextFormattedCitation":"(39)","previouslyFormattedCitation":"(39)"},"properties":{"noteIndex":0},"schema":"https://github.com/citation-style-language/schema/raw/master/csl-citation.json"}</w:instrText>
      </w:r>
      <w:r w:rsidR="007C3D52" w:rsidRPr="00B3074D">
        <w:rPr>
          <w:rFonts w:ascii="Times New Roman" w:hAnsi="Times New Roman" w:cs="Times New Roman"/>
        </w:rPr>
        <w:fldChar w:fldCharType="separate"/>
      </w:r>
      <w:r w:rsidR="00B92C04" w:rsidRPr="00B92C04">
        <w:rPr>
          <w:rFonts w:ascii="Times New Roman" w:hAnsi="Times New Roman" w:cs="Times New Roman"/>
          <w:noProof/>
        </w:rPr>
        <w:t>(39)</w:t>
      </w:r>
      <w:r w:rsidR="007C3D52" w:rsidRPr="00B3074D">
        <w:rPr>
          <w:rFonts w:ascii="Times New Roman" w:hAnsi="Times New Roman" w:cs="Times New Roman"/>
        </w:rPr>
        <w:fldChar w:fldCharType="end"/>
      </w:r>
      <w:r w:rsidR="007C3D52" w:rsidRPr="00B3074D">
        <w:rPr>
          <w:rFonts w:ascii="Times New Roman" w:hAnsi="Times New Roman" w:cs="Times New Roman"/>
        </w:rPr>
        <w:t>.</w:t>
      </w:r>
      <w:r w:rsidR="002F4D3B">
        <w:rPr>
          <w:rFonts w:ascii="Times New Roman" w:hAnsi="Times New Roman" w:cs="Times New Roman"/>
        </w:rPr>
        <w:t xml:space="preserve"> </w:t>
      </w:r>
      <w:r w:rsidR="002F4D3B">
        <w:rPr>
          <w:rFonts w:ascii="Times New Roman" w:hAnsi="Times New Roman"/>
          <w:color w:val="000000" w:themeColor="text1"/>
          <w:shd w:val="clear" w:color="auto" w:fill="FFFFFF"/>
        </w:rPr>
        <w:t>For all statistical comparisons, we report</w:t>
      </w:r>
      <w:r w:rsidR="002F4D3B">
        <w:rPr>
          <w:rFonts w:ascii="Times New Roman" w:hAnsi="Times New Roman" w:cs="Times New Roman"/>
          <w:color w:val="000000" w:themeColor="text1"/>
          <w:shd w:val="clear" w:color="auto" w:fill="FFFFFF"/>
        </w:rPr>
        <w:t xml:space="preserve"> statistical</w:t>
      </w:r>
      <w:r w:rsidR="002F4D3B" w:rsidRPr="00B3074D">
        <w:rPr>
          <w:rFonts w:ascii="Times New Roman" w:hAnsi="Times New Roman" w:cs="Times New Roman"/>
          <w:color w:val="000000" w:themeColor="text1"/>
          <w:shd w:val="clear" w:color="auto" w:fill="FFFFFF"/>
        </w:rPr>
        <w:t xml:space="preserve"> significance </w:t>
      </w:r>
      <w:r w:rsidR="002F4D3B">
        <w:rPr>
          <w:rFonts w:ascii="Times New Roman" w:hAnsi="Times New Roman" w:cs="Times New Roman"/>
          <w:color w:val="000000" w:themeColor="text1"/>
          <w:shd w:val="clear" w:color="auto" w:fill="FFFFFF"/>
        </w:rPr>
        <w:t>at</w:t>
      </w:r>
      <w:r w:rsidR="002F4D3B" w:rsidRPr="00B3074D">
        <w:rPr>
          <w:rFonts w:ascii="Times New Roman" w:hAnsi="Times New Roman" w:cs="Times New Roman"/>
          <w:color w:val="000000" w:themeColor="text1"/>
          <w:shd w:val="clear" w:color="auto" w:fill="FFFFFF"/>
        </w:rPr>
        <w:t xml:space="preserve"> </w:t>
      </w:r>
      <w:r w:rsidR="002F4D3B" w:rsidRPr="00B3074D">
        <w:rPr>
          <w:rFonts w:ascii="Times New Roman" w:hAnsi="Times New Roman" w:cs="Times New Roman"/>
          <w:color w:val="000000" w:themeColor="text1"/>
          <w:shd w:val="clear" w:color="auto" w:fill="FFFFFF"/>
        </w:rPr>
        <w:sym w:font="Symbol" w:char="F061"/>
      </w:r>
      <w:r w:rsidR="00DB4879">
        <w:rPr>
          <w:rFonts w:ascii="Times New Roman" w:hAnsi="Times New Roman" w:cs="Times New Roman"/>
          <w:color w:val="000000" w:themeColor="text1"/>
          <w:shd w:val="clear" w:color="auto" w:fill="FFFFFF"/>
        </w:rPr>
        <w:t xml:space="preserve"> </w:t>
      </w:r>
      <w:r w:rsidR="002F4D3B" w:rsidRPr="00B3074D">
        <w:rPr>
          <w:rFonts w:ascii="Times New Roman" w:hAnsi="Times New Roman" w:cs="Times New Roman"/>
          <w:color w:val="000000" w:themeColor="text1"/>
          <w:shd w:val="clear" w:color="auto" w:fill="FFFFFF"/>
        </w:rPr>
        <w:t>=</w:t>
      </w:r>
      <w:r w:rsidR="00DB4879">
        <w:rPr>
          <w:rFonts w:ascii="Times New Roman" w:hAnsi="Times New Roman" w:cs="Times New Roman"/>
          <w:color w:val="000000" w:themeColor="text1"/>
          <w:shd w:val="clear" w:color="auto" w:fill="FFFFFF"/>
        </w:rPr>
        <w:t xml:space="preserve"> </w:t>
      </w:r>
      <w:r w:rsidR="002F4D3B" w:rsidRPr="00B3074D">
        <w:rPr>
          <w:rFonts w:ascii="Times New Roman" w:hAnsi="Times New Roman" w:cs="Times New Roman"/>
          <w:color w:val="000000" w:themeColor="text1"/>
          <w:shd w:val="clear" w:color="auto" w:fill="FFFFFF"/>
        </w:rPr>
        <w:t>0.05</w:t>
      </w:r>
      <w:r w:rsidR="002F4D3B">
        <w:rPr>
          <w:rFonts w:ascii="Times New Roman" w:hAnsi="Times New Roman" w:cs="Times New Roman"/>
          <w:color w:val="000000" w:themeColor="text1"/>
          <w:shd w:val="clear" w:color="auto" w:fill="FFFFFF"/>
        </w:rPr>
        <w:t xml:space="preserve"> and marginal significance at </w:t>
      </w:r>
      <w:r w:rsidR="002F4D3B" w:rsidRPr="00B3074D">
        <w:rPr>
          <w:rFonts w:ascii="Times New Roman" w:hAnsi="Times New Roman" w:cs="Times New Roman"/>
          <w:color w:val="000000" w:themeColor="text1"/>
          <w:shd w:val="clear" w:color="auto" w:fill="FFFFFF"/>
        </w:rPr>
        <w:sym w:font="Symbol" w:char="F061"/>
      </w:r>
      <w:r w:rsidR="00DB4879">
        <w:rPr>
          <w:rFonts w:ascii="Times New Roman" w:hAnsi="Times New Roman" w:cs="Times New Roman"/>
          <w:color w:val="000000" w:themeColor="text1"/>
          <w:shd w:val="clear" w:color="auto" w:fill="FFFFFF"/>
        </w:rPr>
        <w:t xml:space="preserve"> </w:t>
      </w:r>
      <w:r w:rsidR="002F4D3B" w:rsidRPr="00B3074D">
        <w:rPr>
          <w:rFonts w:ascii="Times New Roman" w:hAnsi="Times New Roman" w:cs="Times New Roman"/>
          <w:color w:val="000000" w:themeColor="text1"/>
          <w:shd w:val="clear" w:color="auto" w:fill="FFFFFF"/>
        </w:rPr>
        <w:t>=</w:t>
      </w:r>
      <w:r w:rsidR="00DB4879">
        <w:rPr>
          <w:rFonts w:ascii="Times New Roman" w:hAnsi="Times New Roman" w:cs="Times New Roman"/>
          <w:color w:val="000000" w:themeColor="text1"/>
          <w:shd w:val="clear" w:color="auto" w:fill="FFFFFF"/>
        </w:rPr>
        <w:t xml:space="preserve"> </w:t>
      </w:r>
      <w:r w:rsidR="002F4D3B" w:rsidRPr="00B3074D">
        <w:rPr>
          <w:rFonts w:ascii="Times New Roman" w:hAnsi="Times New Roman" w:cs="Times New Roman"/>
          <w:color w:val="000000" w:themeColor="text1"/>
          <w:shd w:val="clear" w:color="auto" w:fill="FFFFFF"/>
        </w:rPr>
        <w:t>0.</w:t>
      </w:r>
      <w:r w:rsidR="002F4D3B">
        <w:rPr>
          <w:rFonts w:ascii="Times New Roman" w:hAnsi="Times New Roman" w:cs="Times New Roman"/>
          <w:color w:val="000000" w:themeColor="text1"/>
          <w:shd w:val="clear" w:color="auto" w:fill="FFFFFF"/>
        </w:rPr>
        <w:t xml:space="preserve">1. </w:t>
      </w:r>
    </w:p>
    <w:p w14:paraId="3CEEE399" w14:textId="77777777" w:rsidR="00B3074D" w:rsidRPr="00B3074D" w:rsidRDefault="00B3074D" w:rsidP="00B3074D">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Edaphic, enzymatic and vegetation statistical analyses</w:t>
      </w:r>
    </w:p>
    <w:p w14:paraId="339E3206" w14:textId="05789EB1"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Edaphic parameters were examined using multiple model structures. To accomplish this, the entire dataset was subset into either: 1) individual time points containing all five weed removal treatment types or 2) individual weed removal treatments that contained all </w:t>
      </w:r>
      <w:r w:rsidR="007C3D52">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 xml:space="preserve">three time points. In both cases, ANCOVA was used for our statistical analyses. As weedy vegetation is a driver of belowground exudation and resource competition, it is likely to contribute to the concentration of nutrients and enzyme activities. As such, it was collected as a covariate and included in our models. The first set of statistical models was used to compare the effects of weed removal treatment within a single time point (Y ~ weed removal treatment + total weedy vegetation, data = time point containing all five treatment types). The second set of models was </w:t>
      </w:r>
      <w:r w:rsidRPr="00B3074D">
        <w:rPr>
          <w:rFonts w:ascii="Times New Roman" w:hAnsi="Times New Roman" w:cs="Times New Roman"/>
          <w:color w:val="000000" w:themeColor="text1"/>
          <w:shd w:val="clear" w:color="auto" w:fill="FFFFFF"/>
        </w:rPr>
        <w:lastRenderedPageBreak/>
        <w:t xml:space="preserve">used to examine </w:t>
      </w:r>
      <w:r w:rsidR="00957991">
        <w:rPr>
          <w:rFonts w:ascii="Times New Roman" w:hAnsi="Times New Roman" w:cs="Times New Roman"/>
          <w:color w:val="000000" w:themeColor="text1"/>
          <w:shd w:val="clear" w:color="auto" w:fill="FFFFFF"/>
        </w:rPr>
        <w:t xml:space="preserve">changes over </w:t>
      </w:r>
      <w:r w:rsidRPr="00B3074D">
        <w:rPr>
          <w:rFonts w:ascii="Times New Roman" w:hAnsi="Times New Roman" w:cs="Times New Roman"/>
          <w:color w:val="000000" w:themeColor="text1"/>
          <w:shd w:val="clear" w:color="auto" w:fill="FFFFFF"/>
        </w:rPr>
        <w:t xml:space="preserve">time within a single weed removal treatment (Y ~ time + total weedy vegetation, data = individual treatment type with all three time points). Pairwise differences in edaphic parameters among time points and treatment types were assessed using Tukey’s HSD. </w:t>
      </w:r>
    </w:p>
    <w:p w14:paraId="56F1CC45" w14:textId="3123C220" w:rsidR="00B3074D" w:rsidRPr="00B3074D" w:rsidRDefault="00DB4879"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To</w:t>
      </w:r>
      <w:r w:rsidR="00B3074D" w:rsidRPr="00B3074D">
        <w:rPr>
          <w:rFonts w:ascii="Times New Roman" w:hAnsi="Times New Roman" w:cs="Times New Roman"/>
          <w:color w:val="000000" w:themeColor="text1"/>
          <w:shd w:val="clear" w:color="auto" w:fill="FFFFFF"/>
        </w:rPr>
        <w:t xml:space="preserve"> examine changes in extracellular enzyme activities, the </w:t>
      </w:r>
      <w:r w:rsidR="00957991">
        <w:rPr>
          <w:rFonts w:ascii="Times New Roman" w:hAnsi="Times New Roman" w:cs="Times New Roman"/>
          <w:color w:val="000000" w:themeColor="text1"/>
          <w:shd w:val="clear" w:color="auto" w:fill="FFFFFF"/>
        </w:rPr>
        <w:t>same subsets and model structures were used as were implemented</w:t>
      </w:r>
      <w:r w:rsidR="00B3074D" w:rsidRPr="00B3074D">
        <w:rPr>
          <w:rFonts w:ascii="Times New Roman" w:hAnsi="Times New Roman" w:cs="Times New Roman"/>
          <w:color w:val="000000" w:themeColor="text1"/>
          <w:shd w:val="clear" w:color="auto" w:fill="FFFFFF"/>
        </w:rPr>
        <w:t xml:space="preserve"> </w:t>
      </w:r>
      <w:r w:rsidR="00957991">
        <w:rPr>
          <w:rFonts w:ascii="Times New Roman" w:hAnsi="Times New Roman" w:cs="Times New Roman"/>
          <w:color w:val="000000" w:themeColor="text1"/>
          <w:shd w:val="clear" w:color="auto" w:fill="FFFFFF"/>
        </w:rPr>
        <w:t>with</w:t>
      </w:r>
      <w:r w:rsidR="00B3074D" w:rsidRPr="00B3074D">
        <w:rPr>
          <w:rFonts w:ascii="Times New Roman" w:hAnsi="Times New Roman" w:cs="Times New Roman"/>
          <w:color w:val="000000" w:themeColor="text1"/>
          <w:shd w:val="clear" w:color="auto" w:fill="FFFFFF"/>
        </w:rPr>
        <w:t xml:space="preserve"> the edaphic parameters. In addition, </w:t>
      </w:r>
      <w:r w:rsidR="00957991">
        <w:rPr>
          <w:rFonts w:ascii="Times New Roman" w:hAnsi="Times New Roman" w:cs="Times New Roman"/>
          <w:color w:val="000000" w:themeColor="text1"/>
          <w:shd w:val="clear" w:color="auto" w:fill="FFFFFF"/>
        </w:rPr>
        <w:t xml:space="preserve">we </w:t>
      </w:r>
      <w:r w:rsidR="00B3074D" w:rsidRPr="00B3074D">
        <w:rPr>
          <w:rFonts w:ascii="Times New Roman" w:hAnsi="Times New Roman" w:cs="Times New Roman"/>
          <w:color w:val="000000" w:themeColor="text1"/>
          <w:shd w:val="clear" w:color="auto" w:fill="FFFFFF"/>
        </w:rPr>
        <w:t>u</w:t>
      </w:r>
      <w:r w:rsidR="00957991">
        <w:rPr>
          <w:rFonts w:ascii="Times New Roman" w:hAnsi="Times New Roman" w:cs="Times New Roman"/>
          <w:color w:val="000000" w:themeColor="text1"/>
          <w:shd w:val="clear" w:color="auto" w:fill="FFFFFF"/>
        </w:rPr>
        <w:t>tilized</w:t>
      </w:r>
      <w:r w:rsidR="00B3074D" w:rsidRPr="00B3074D">
        <w:rPr>
          <w:rFonts w:ascii="Times New Roman" w:hAnsi="Times New Roman" w:cs="Times New Roman"/>
          <w:color w:val="000000" w:themeColor="text1"/>
          <w:shd w:val="clear" w:color="auto" w:fill="FFFFFF"/>
        </w:rPr>
        <w:t xml:space="preserve"> a conservative mixed modeling approach</w:t>
      </w:r>
      <w:r w:rsidR="00957991">
        <w:rPr>
          <w:rFonts w:ascii="Times New Roman" w:hAnsi="Times New Roman" w:cs="Times New Roman"/>
          <w:color w:val="000000" w:themeColor="text1"/>
          <w:shd w:val="clear" w:color="auto" w:fill="FFFFFF"/>
        </w:rPr>
        <w:t xml:space="preserve"> to </w:t>
      </w:r>
      <w:r w:rsidR="00957991" w:rsidRPr="00B3074D">
        <w:rPr>
          <w:rFonts w:ascii="Times New Roman" w:hAnsi="Times New Roman" w:cs="Times New Roman"/>
          <w:color w:val="000000" w:themeColor="text1"/>
          <w:shd w:val="clear" w:color="auto" w:fill="FFFFFF"/>
        </w:rPr>
        <w:t>examine</w:t>
      </w:r>
      <w:r w:rsidR="00B3074D" w:rsidRPr="00B3074D">
        <w:rPr>
          <w:rFonts w:ascii="Times New Roman" w:hAnsi="Times New Roman" w:cs="Times New Roman"/>
          <w:color w:val="000000" w:themeColor="text1"/>
          <w:shd w:val="clear" w:color="auto" w:fill="FFFFFF"/>
        </w:rPr>
        <w:t xml:space="preserve"> the effect of time, weed removal treatment, and total weedy vegetation on enzyme activity simultaneously using linear mixed models</w:t>
      </w:r>
      <w:r w:rsidR="00957991">
        <w:rPr>
          <w:rFonts w:ascii="Times New Roman" w:hAnsi="Times New Roman" w:cs="Times New Roman"/>
          <w:color w:val="000000" w:themeColor="text1"/>
          <w:shd w:val="clear" w:color="auto" w:fill="FFFFFF"/>
        </w:rPr>
        <w:t>,</w:t>
      </w:r>
      <w:r w:rsidR="00B3074D" w:rsidRPr="00B3074D">
        <w:rPr>
          <w:rFonts w:ascii="Times New Roman" w:hAnsi="Times New Roman" w:cs="Times New Roman"/>
          <w:color w:val="000000" w:themeColor="text1"/>
          <w:shd w:val="clear" w:color="auto" w:fill="FFFFFF"/>
        </w:rPr>
        <w:t xml:space="preserve"> with fixed effects of weed removal treatment, pre-treatment enzyme activity (to account for initial differences), total weedy vegetation, and a time*weed removal treatment interaction</w:t>
      </w:r>
      <w:r w:rsidR="00957991">
        <w:rPr>
          <w:rFonts w:ascii="Times New Roman" w:hAnsi="Times New Roman" w:cs="Times New Roman"/>
          <w:color w:val="000000" w:themeColor="text1"/>
          <w:shd w:val="clear" w:color="auto" w:fill="FFFFFF"/>
        </w:rPr>
        <w:t>. The r</w:t>
      </w:r>
      <w:r w:rsidR="00B3074D" w:rsidRPr="00B3074D">
        <w:rPr>
          <w:rFonts w:ascii="Times New Roman" w:hAnsi="Times New Roman" w:cs="Times New Roman"/>
          <w:color w:val="000000" w:themeColor="text1"/>
          <w:shd w:val="clear" w:color="auto" w:fill="FFFFFF"/>
        </w:rPr>
        <w:t>andom effect</w:t>
      </w:r>
      <w:r w:rsidR="00957991">
        <w:rPr>
          <w:rFonts w:ascii="Times New Roman" w:hAnsi="Times New Roman" w:cs="Times New Roman"/>
          <w:color w:val="000000" w:themeColor="text1"/>
          <w:shd w:val="clear" w:color="auto" w:fill="FFFFFF"/>
        </w:rPr>
        <w:t xml:space="preserve"> in our model </w:t>
      </w:r>
      <w:r w:rsidR="002F4D3B">
        <w:rPr>
          <w:rFonts w:ascii="Times New Roman" w:hAnsi="Times New Roman" w:cs="Times New Roman"/>
          <w:color w:val="000000" w:themeColor="text1"/>
          <w:shd w:val="clear" w:color="auto" w:fill="FFFFFF"/>
        </w:rPr>
        <w:t>was</w:t>
      </w:r>
      <w:r w:rsidR="00957991">
        <w:rPr>
          <w:rFonts w:ascii="Times New Roman" w:hAnsi="Times New Roman" w:cs="Times New Roman"/>
          <w:color w:val="000000" w:themeColor="text1"/>
          <w:shd w:val="clear" w:color="auto" w:fill="FFFFFF"/>
        </w:rPr>
        <w:t xml:space="preserve"> limited to</w:t>
      </w:r>
      <w:r w:rsidR="00B3074D" w:rsidRPr="00B3074D">
        <w:rPr>
          <w:rFonts w:ascii="Times New Roman" w:hAnsi="Times New Roman" w:cs="Times New Roman"/>
          <w:color w:val="000000" w:themeColor="text1"/>
          <w:shd w:val="clear" w:color="auto" w:fill="FFFFFF"/>
        </w:rPr>
        <w:t xml:space="preserve"> sampling time to account for temporal non-independence (Y ~ pre-treatment enzyme activity + treatment + </w:t>
      </w:r>
      <w:r w:rsidR="002F4D3B" w:rsidRPr="00B3074D">
        <w:rPr>
          <w:rFonts w:ascii="Times New Roman" w:hAnsi="Times New Roman" w:cs="Times New Roman"/>
          <w:color w:val="000000" w:themeColor="text1"/>
          <w:shd w:val="clear" w:color="auto" w:fill="FFFFFF"/>
        </w:rPr>
        <w:t>time +</w:t>
      </w:r>
      <w:r w:rsidR="00B3074D" w:rsidRPr="00B3074D">
        <w:rPr>
          <w:rFonts w:ascii="Times New Roman" w:hAnsi="Times New Roman" w:cs="Times New Roman"/>
          <w:color w:val="000000" w:themeColor="text1"/>
          <w:shd w:val="clear" w:color="auto" w:fill="FFFFFF"/>
        </w:rPr>
        <w:t xml:space="preserve"> total weedy vegetation + treatment*time + (1|time), data = all data points from time two and three). </w:t>
      </w:r>
    </w:p>
    <w:p w14:paraId="153666D5" w14:textId="7F6C943C"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For multivariate responses to weed removal treatment or time since treatment, </w:t>
      </w:r>
      <w:proofErr w:type="spellStart"/>
      <w:r w:rsidRPr="00B3074D">
        <w:rPr>
          <w:rFonts w:ascii="Times New Roman" w:hAnsi="Times New Roman" w:cs="Times New Roman"/>
          <w:color w:val="000000" w:themeColor="text1"/>
          <w:shd w:val="clear" w:color="auto" w:fill="FFFFFF"/>
        </w:rPr>
        <w:t>PerMANOVA</w:t>
      </w:r>
      <w:proofErr w:type="spellEnd"/>
      <w:r w:rsidRPr="00B3074D">
        <w:rPr>
          <w:rFonts w:ascii="Times New Roman" w:hAnsi="Times New Roman" w:cs="Times New Roman"/>
          <w:color w:val="000000" w:themeColor="text1"/>
          <w:shd w:val="clear" w:color="auto" w:fill="FFFFFF"/>
        </w:rPr>
        <w:t xml:space="preserve"> testing (Adonis) was utilized to determine statistical differences among total enzymatic profiles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Package","type":"article"},"uris":["http://www.mendeley.com/documents/?uuid=703e10de-9d27-4a25-a078-df14a0d86829"]},{"id":"ITEM-2","itemData":{"DOI":"10.1371/journal.pone.0061217","ISSN":"1932-6203","author":[{"dropping-particle":"","family":"McMurdie","given":"Paul J","non-dropping-particle":"","parse-names":false,"suffix":""},{"dropping-particle":"","family":"Holmes","given":"Susan","non-dropping-particle":"","parse-names":false,"suffix":""}],"container-title":"PLoS ONE","editor":[{"dropping-particle":"","family":"Watson","given":"Michael","non-dropping-particle":"","parse-names":false,"suffix":""}],"id":"ITEM-2","issue":"4","issued":{"date-parts":[["2013","4","22"]]},"page":"1-11","title":"phyloseq: An R Package for Reproducible Interactive Analysis and Graphics of Microbiome Census Data","type":"article-journal","volume":"8"},"uris":["http://www.mendeley.com/documents/?uuid=ba7d854a-96bf-4a89-86e5-6aec787dd1eb"]}],"mendeley":{"formattedCitation":"(40, 41)","plainTextFormattedCitation":"(40, 41)","previouslyFormattedCitation":"(40, 41)"},"properties":{"noteIndex":0},"schema":"https://github.com/citation-style-language/schema/raw/master/csl-citation.json"}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(40, 41)</w:t>
      </w:r>
      <w:r w:rsidRPr="00B3074D">
        <w:rPr>
          <w:rFonts w:ascii="Times New Roman" w:hAnsi="Times New Roman" w:cs="Times New Roman"/>
          <w:color w:val="000000" w:themeColor="text1"/>
          <w:shd w:val="clear" w:color="auto" w:fill="FFFFFF"/>
        </w:rPr>
        <w:fldChar w:fldCharType="end"/>
      </w:r>
      <w:r w:rsidR="002F4D3B">
        <w:rPr>
          <w:rFonts w:ascii="Times New Roman" w:hAnsi="Times New Roman" w:cs="Times New Roman"/>
          <w:color w:val="000000" w:themeColor="text1"/>
          <w:shd w:val="clear" w:color="auto" w:fill="FFFFFF"/>
        </w:rPr>
        <w:t>, using Bray-Curtis dissimilarity</w:t>
      </w:r>
      <w:r w:rsidRPr="00B3074D">
        <w:rPr>
          <w:rFonts w:ascii="Times New Roman" w:hAnsi="Times New Roman" w:cs="Times New Roman"/>
          <w:color w:val="000000" w:themeColor="text1"/>
          <w:shd w:val="clear" w:color="auto" w:fill="FFFFFF"/>
        </w:rPr>
        <w:t xml:space="preserve">. Non-metric multidimensional scaling was utilized to visualize differences in total enzymatic profiles. Mantel testing was implemented to examine correlations in the distance matrices of edaphic conditions and enzymatic activities. </w:t>
      </w:r>
    </w:p>
    <w:p w14:paraId="6313C534"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Differences in the cover of total weedy vegetation, lamb’s quarter, and redroot pigweed across herbicide treatments within a single time point were assessed individually with similar statistical models as were used for comparisons of enzymatic and edaphic properties. As these </w:t>
      </w:r>
      <w:r w:rsidRPr="00B3074D">
        <w:rPr>
          <w:rFonts w:ascii="Times New Roman" w:hAnsi="Times New Roman" w:cs="Times New Roman"/>
          <w:color w:val="000000" w:themeColor="text1"/>
          <w:shd w:val="clear" w:color="auto" w:fill="FFFFFF"/>
        </w:rPr>
        <w:lastRenderedPageBreak/>
        <w:t xml:space="preserve">measurements were collected as cover classes and converted to a continuous covariate, we do not report percent change or means following treatment, only directionality of change. </w:t>
      </w:r>
    </w:p>
    <w:p w14:paraId="08815534" w14:textId="1467FB2B" w:rsidR="00B3074D" w:rsidRPr="00B3074D" w:rsidRDefault="00B3074D" w:rsidP="00B3074D">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 xml:space="preserve">Microbiome </w:t>
      </w:r>
      <w:r w:rsidR="00957991">
        <w:rPr>
          <w:rFonts w:ascii="Times New Roman" w:hAnsi="Times New Roman" w:cs="Times New Roman"/>
          <w:i/>
          <w:iCs/>
          <w:color w:val="000000" w:themeColor="text1"/>
          <w:u w:val="single"/>
          <w:shd w:val="clear" w:color="auto" w:fill="FFFFFF"/>
        </w:rPr>
        <w:t xml:space="preserve">statistical </w:t>
      </w:r>
      <w:r w:rsidRPr="00B3074D">
        <w:rPr>
          <w:rFonts w:ascii="Times New Roman" w:hAnsi="Times New Roman" w:cs="Times New Roman"/>
          <w:i/>
          <w:iCs/>
          <w:color w:val="000000" w:themeColor="text1"/>
          <w:u w:val="single"/>
          <w:shd w:val="clear" w:color="auto" w:fill="FFFFFF"/>
        </w:rPr>
        <w:t>analyses</w:t>
      </w:r>
    </w:p>
    <w:p w14:paraId="032024BD" w14:textId="0845854D" w:rsidR="00957991" w:rsidRPr="0053582D" w:rsidRDefault="00061269" w:rsidP="0053582D">
      <w:pPr>
        <w:spacing w:line="480" w:lineRule="auto"/>
        <w:rPr>
          <w:rFonts w:ascii="Times New Roman" w:hAnsi="Times New Roman"/>
          <w:color w:val="000000" w:themeColor="text1"/>
          <w:shd w:val="clear" w:color="auto" w:fill="FFFFFF"/>
        </w:rPr>
      </w:pPr>
      <w:r>
        <w:rPr>
          <w:rFonts w:ascii="Times New Roman" w:hAnsi="Times New Roman"/>
          <w:color w:val="000000" w:themeColor="text1"/>
          <w:shd w:val="clear" w:color="auto" w:fill="FFFFFF"/>
        </w:rPr>
        <w:t xml:space="preserve">Differences in microbial </w:t>
      </w:r>
      <w:r w:rsidR="00B33E6B">
        <w:rPr>
          <w:rFonts w:ascii="Times New Roman" w:hAnsi="Times New Roman"/>
          <w:color w:val="000000" w:themeColor="text1"/>
          <w:shd w:val="clear" w:color="auto" w:fill="FFFFFF"/>
        </w:rPr>
        <w:t>alpha-</w:t>
      </w:r>
      <w:r>
        <w:rPr>
          <w:rFonts w:ascii="Times New Roman" w:hAnsi="Times New Roman"/>
          <w:color w:val="000000" w:themeColor="text1"/>
          <w:shd w:val="clear" w:color="auto" w:fill="FFFFFF"/>
        </w:rPr>
        <w:t>diversity</w:t>
      </w:r>
      <w:r w:rsidR="00B33E6B">
        <w:rPr>
          <w:rFonts w:ascii="Times New Roman" w:hAnsi="Times New Roman"/>
          <w:color w:val="000000" w:themeColor="text1"/>
          <w:shd w:val="clear" w:color="auto" w:fill="FFFFFF"/>
        </w:rPr>
        <w:t xml:space="preserve"> (</w:t>
      </w:r>
      <w:r w:rsidR="00B33E6B">
        <w:rPr>
          <w:rFonts w:ascii="Times New Roman" w:hAnsi="Times New Roman"/>
          <w:color w:val="000000" w:themeColor="text1"/>
          <w:shd w:val="clear" w:color="auto" w:fill="FFFFFF"/>
        </w:rPr>
        <w:sym w:font="Symbol" w:char="F061"/>
      </w:r>
      <w:r w:rsidR="00B33E6B">
        <w:rPr>
          <w:rFonts w:ascii="Times New Roman" w:hAnsi="Times New Roman"/>
          <w:color w:val="000000" w:themeColor="text1"/>
          <w:shd w:val="clear" w:color="auto" w:fill="FFFFFF"/>
        </w:rPr>
        <w:t>)</w:t>
      </w:r>
      <w:r>
        <w:rPr>
          <w:rFonts w:ascii="Times New Roman" w:hAnsi="Times New Roman"/>
          <w:color w:val="000000" w:themeColor="text1"/>
          <w:shd w:val="clear" w:color="auto" w:fill="FFFFFF"/>
        </w:rPr>
        <w:t xml:space="preserve"> between herbicide types</w:t>
      </w:r>
      <w:r w:rsidR="002F4D3B">
        <w:rPr>
          <w:rFonts w:ascii="Times New Roman" w:hAnsi="Times New Roman"/>
          <w:color w:val="000000" w:themeColor="text1"/>
          <w:shd w:val="clear" w:color="auto" w:fill="FFFFFF"/>
        </w:rPr>
        <w:t xml:space="preserve"> </w:t>
      </w:r>
      <w:r>
        <w:rPr>
          <w:rFonts w:ascii="Times New Roman" w:hAnsi="Times New Roman"/>
          <w:color w:val="000000" w:themeColor="text1"/>
          <w:shd w:val="clear" w:color="auto" w:fill="FFFFFF"/>
        </w:rPr>
        <w:t xml:space="preserve">were assessed using ANVOA and rarefied taxon counts within each sampling time point. </w:t>
      </w:r>
      <w:r w:rsidR="00B33E6B">
        <w:rPr>
          <w:rFonts w:ascii="Times New Roman" w:hAnsi="Times New Roman"/>
          <w:color w:val="000000" w:themeColor="text1"/>
          <w:shd w:val="clear" w:color="auto" w:fill="FFFFFF"/>
        </w:rPr>
        <w:t>A significant effect was noted when the herbicide treated plots diverged from either of the controls. The effect of herbicide on community dissimilarity was assessed using both rarefied taxon count tables and the Dirichlet multinomial modeled point estimates generated by the CNVRG package</w:t>
      </w:r>
      <w:r w:rsidR="00DB4879">
        <w:rPr>
          <w:rFonts w:ascii="Times New Roman" w:hAnsi="Times New Roman"/>
          <w:color w:val="000000" w:themeColor="text1"/>
          <w:shd w:val="clear" w:color="auto" w:fill="FFFFFF"/>
        </w:rPr>
        <w:t xml:space="preserve"> </w:t>
      </w:r>
      <w:r w:rsidR="00DB4879">
        <w:rPr>
          <w:rFonts w:ascii="Times New Roman" w:hAnsi="Times New Roman"/>
          <w:color w:val="000000" w:themeColor="text1"/>
          <w:shd w:val="clear" w:color="auto" w:fill="FFFFFF"/>
        </w:rPr>
        <w:fldChar w:fldCharType="begin" w:fldLock="1"/>
      </w:r>
      <w:r w:rsidR="006067D4">
        <w:rPr>
          <w:rFonts w:ascii="Times New Roman" w:hAnsi="Times New Roman"/>
          <w:color w:val="000000" w:themeColor="text1"/>
          <w:shd w:val="clear" w:color="auto" w:fill="FFFFFF"/>
        </w:rPr>
        <w:instrText>ADDIN CSL_CITATION {"citationItems":[{"id":"ITEM-1","itemData":{"DOI":"10.1111/1755-0998.13128","ISSN":"1755-098X","abstract":"Molecular ecology regularly requires the analysis of count data that reflect the relative abundance of features of a composition (e.g., taxa in a community, gene transcripts in a tissue). The sampling process that generates these data can be modelled using the multinomial distribution. Replicate multinomial samples inform the relative abundances of features in an underlying Dirichlet distribution. These distributions together form a hierarchical model for relative abundances among replicates and sampling groups. This type of Dirichlet-multinomial modelling (DMM) has been described previously, but its benefits and limitations are largely untested. With simulated data, we quantified the ability of DMM to detect differences in proportions between treatment and control groups, and compared the efficacy of three computational methods to implement DMM—Hamiltonian Monte Carlo (HMC), variational inference (VI), and Gibbs Markov chain Monte Carlo. We report that DMM was better able to detect shifts in relative abundances than analogous analytical tools, while identifying an acceptably low number of false positives. Among methods for implementing DMM, HMC provided the most accurate estimates of relative abundances, and VI was the most computationally efficient. The sensitivity of DMM was exemplified through analysis of previously published data describing lung microbiomes. We report that DMM identified several potentially pathogenic, bacterial taxa as more abundant in the lungs of children who aspirated foreign material during swallowing; these differences went undetected with different statistical approaches. Our results suggest that DMM has strong potential as a statistical method to guide inference in molecular ecology.","author":[{"dropping-particle":"","family":"Harrison","given":"Joshua G","non-dropping-particle":"","parse-names":false,"suffix":""},{"dropping-particle":"","family":"Calder","given":"W John","non-dropping-particle":"","parse-names":false,"suffix":""},{"dropping-particle":"","family":"Shastry","given":"Vivaswat","non-dropping-particle":"","parse-names":false,"suffix":""},{"dropping-particle":"","family":"Buerkle","given":"C. Alex","non-dropping-particle":"","parse-names":false,"suffix":""}],"container-title":"Molecular Ecology Resources","id":"ITEM-1","issue":"2","issued":{"date-parts":[["2020","3","29"]]},"page":"481-497","title":"Dirichlet‐multinomial modelling outperforms alternatives for analysis of microbiome and other ecological count data","type":"article-journal","volume":"20"},"uris":["http://www.mendeley.com/documents/?uuid=b81d028b-2436-43e2-adaa-291011e7fa00"]}],"mendeley":{"formattedCitation":"(42)","plainTextFormattedCitation":"(42)","previouslyFormattedCitation":"(42)"},"properties":{"noteIndex":0},"schema":"https://github.com/citation-style-language/schema/raw/master/csl-citation.json"}</w:instrText>
      </w:r>
      <w:r w:rsidR="00DB4879">
        <w:rPr>
          <w:rFonts w:ascii="Times New Roman" w:hAnsi="Times New Roman"/>
          <w:color w:val="000000" w:themeColor="text1"/>
          <w:shd w:val="clear" w:color="auto" w:fill="FFFFFF"/>
        </w:rPr>
        <w:fldChar w:fldCharType="separate"/>
      </w:r>
      <w:r w:rsidR="00DB4879" w:rsidRPr="00DB4879">
        <w:rPr>
          <w:rFonts w:ascii="Times New Roman" w:hAnsi="Times New Roman"/>
          <w:noProof/>
          <w:color w:val="000000" w:themeColor="text1"/>
          <w:shd w:val="clear" w:color="auto" w:fill="FFFFFF"/>
        </w:rPr>
        <w:t>(42)</w:t>
      </w:r>
      <w:r w:rsidR="00DB4879">
        <w:rPr>
          <w:rFonts w:ascii="Times New Roman" w:hAnsi="Times New Roman"/>
          <w:color w:val="000000" w:themeColor="text1"/>
          <w:shd w:val="clear" w:color="auto" w:fill="FFFFFF"/>
        </w:rPr>
        <w:fldChar w:fldCharType="end"/>
      </w:r>
      <w:r w:rsidR="00B33E6B">
        <w:rPr>
          <w:rFonts w:ascii="Times New Roman" w:hAnsi="Times New Roman"/>
          <w:color w:val="000000" w:themeColor="text1"/>
          <w:shd w:val="clear" w:color="auto" w:fill="FFFFFF"/>
        </w:rPr>
        <w:t>. Significant effects</w:t>
      </w:r>
      <w:r w:rsidR="00CD39E7">
        <w:rPr>
          <w:rFonts w:ascii="Times New Roman" w:hAnsi="Times New Roman"/>
          <w:color w:val="000000" w:themeColor="text1"/>
          <w:shd w:val="clear" w:color="auto" w:fill="FFFFFF"/>
        </w:rPr>
        <w:t xml:space="preserve"> of herbicide treatment</w:t>
      </w:r>
      <w:r w:rsidR="00B33E6B">
        <w:rPr>
          <w:rFonts w:ascii="Times New Roman" w:hAnsi="Times New Roman"/>
          <w:color w:val="000000" w:themeColor="text1"/>
          <w:shd w:val="clear" w:color="auto" w:fill="FFFFFF"/>
        </w:rPr>
        <w:t xml:space="preserve"> were determined by PERMANOVA testing using </w:t>
      </w:r>
      <w:proofErr w:type="spellStart"/>
      <w:r w:rsidR="00CD39E7">
        <w:rPr>
          <w:rFonts w:ascii="Times New Roman" w:hAnsi="Times New Roman"/>
          <w:color w:val="000000" w:themeColor="text1"/>
          <w:shd w:val="clear" w:color="auto" w:fill="FFFFFF"/>
        </w:rPr>
        <w:t>beta_dispr</w:t>
      </w:r>
      <w:proofErr w:type="spellEnd"/>
      <w:r w:rsidR="00CD39E7">
        <w:rPr>
          <w:rFonts w:ascii="Times New Roman" w:hAnsi="Times New Roman"/>
          <w:color w:val="000000" w:themeColor="text1"/>
          <w:shd w:val="clear" w:color="auto" w:fill="FFFFFF"/>
        </w:rPr>
        <w:t xml:space="preserve">() and </w:t>
      </w:r>
      <w:proofErr w:type="spellStart"/>
      <w:r w:rsidR="00CD39E7">
        <w:rPr>
          <w:rFonts w:ascii="Times New Roman" w:hAnsi="Times New Roman"/>
          <w:color w:val="000000" w:themeColor="text1"/>
          <w:shd w:val="clear" w:color="auto" w:fill="FFFFFF"/>
        </w:rPr>
        <w:t>adonis</w:t>
      </w:r>
      <w:proofErr w:type="spellEnd"/>
      <w:r w:rsidR="00CD39E7">
        <w:rPr>
          <w:rFonts w:ascii="Times New Roman" w:hAnsi="Times New Roman"/>
          <w:color w:val="000000" w:themeColor="text1"/>
          <w:shd w:val="clear" w:color="auto" w:fill="FFFFFF"/>
        </w:rPr>
        <w:t xml:space="preserve">() functions in </w:t>
      </w:r>
      <w:r w:rsidR="00B33E6B">
        <w:rPr>
          <w:rFonts w:ascii="Times New Roman" w:hAnsi="Times New Roman"/>
          <w:color w:val="000000" w:themeColor="text1"/>
          <w:shd w:val="clear" w:color="auto" w:fill="FFFFFF"/>
        </w:rPr>
        <w:t xml:space="preserve">the vegan package </w:t>
      </w:r>
      <w:r w:rsidR="00B33E6B">
        <w:rPr>
          <w:rFonts w:ascii="Times New Roman" w:hAnsi="Times New Roman"/>
          <w:color w:val="000000" w:themeColor="text1"/>
          <w:shd w:val="clear" w:color="auto" w:fill="FFFFFF"/>
        </w:rPr>
        <w:fldChar w:fldCharType="begin" w:fldLock="1"/>
      </w:r>
      <w:r w:rsidR="00B92C04">
        <w:rPr>
          <w:rFonts w:ascii="Times New Roman" w:hAnsi="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mendeley":{"formattedCitation":"(40)","plainTextFormattedCitation":"(40)","previouslyFormattedCitation":"(40)"},"properties":{"noteIndex":0},"schema":"https://github.com/citation-style-language/schema/raw/master/csl-citation.json"}</w:instrText>
      </w:r>
      <w:r w:rsidR="00B33E6B">
        <w:rPr>
          <w:rFonts w:ascii="Times New Roman" w:hAnsi="Times New Roman"/>
          <w:color w:val="000000" w:themeColor="text1"/>
          <w:shd w:val="clear" w:color="auto" w:fill="FFFFFF"/>
        </w:rPr>
        <w:fldChar w:fldCharType="separate"/>
      </w:r>
      <w:r w:rsidR="00B92C04" w:rsidRPr="00B92C04">
        <w:rPr>
          <w:rFonts w:ascii="Times New Roman" w:hAnsi="Times New Roman"/>
          <w:noProof/>
          <w:color w:val="000000" w:themeColor="text1"/>
          <w:shd w:val="clear" w:color="auto" w:fill="FFFFFF"/>
        </w:rPr>
        <w:t>(40)</w:t>
      </w:r>
      <w:r w:rsidR="00B33E6B">
        <w:rPr>
          <w:rFonts w:ascii="Times New Roman" w:hAnsi="Times New Roman"/>
          <w:color w:val="000000" w:themeColor="text1"/>
          <w:shd w:val="clear" w:color="auto" w:fill="FFFFFF"/>
        </w:rPr>
        <w:fldChar w:fldCharType="end"/>
      </w:r>
      <w:r w:rsidR="00B33E6B">
        <w:rPr>
          <w:rFonts w:ascii="Times New Roman" w:hAnsi="Times New Roman"/>
          <w:color w:val="000000" w:themeColor="text1"/>
          <w:shd w:val="clear" w:color="auto" w:fill="FFFFFF"/>
        </w:rPr>
        <w:t xml:space="preserve">. </w:t>
      </w:r>
      <w:r w:rsidR="002F4D3B">
        <w:rPr>
          <w:rFonts w:ascii="Times New Roman" w:hAnsi="Times New Roman"/>
          <w:color w:val="000000" w:themeColor="text1"/>
          <w:shd w:val="clear" w:color="auto" w:fill="FFFFFF"/>
        </w:rPr>
        <w:t>Again, total weedy vegetation was included in these models (Y ~ Herbicide * Time + total weedy vegetation, permutations = 1,000). Heterogeneity in microbiome composition was assessed using Bray-</w:t>
      </w:r>
      <w:proofErr w:type="gramStart"/>
      <w:r w:rsidR="002F4D3B">
        <w:rPr>
          <w:rFonts w:ascii="Times New Roman" w:hAnsi="Times New Roman"/>
          <w:color w:val="000000" w:themeColor="text1"/>
          <w:shd w:val="clear" w:color="auto" w:fill="FFFFFF"/>
        </w:rPr>
        <w:t>Curtis</w:t>
      </w:r>
      <w:proofErr w:type="gramEnd"/>
      <w:r w:rsidR="002F4D3B">
        <w:rPr>
          <w:rFonts w:ascii="Times New Roman" w:hAnsi="Times New Roman"/>
          <w:color w:val="000000" w:themeColor="text1"/>
          <w:shd w:val="clear" w:color="auto" w:fill="FFFFFF"/>
        </w:rPr>
        <w:t xml:space="preserve"> dissimilarities and visualized with boxplots of pairwise dissimilarities to all other members of that treatment group at that time point. </w:t>
      </w:r>
      <w:r w:rsidR="00BB31F7">
        <w:rPr>
          <w:rFonts w:ascii="Times New Roman" w:hAnsi="Times New Roman"/>
          <w:color w:val="000000" w:themeColor="text1"/>
          <w:shd w:val="clear" w:color="auto" w:fill="FFFFFF"/>
        </w:rPr>
        <w:t xml:space="preserve">Significant differences in multivariate dispersion were assessed using </w:t>
      </w:r>
      <w:proofErr w:type="spellStart"/>
      <w:r w:rsidR="00BB31F7">
        <w:rPr>
          <w:rFonts w:ascii="Times New Roman" w:hAnsi="Times New Roman"/>
          <w:color w:val="000000" w:themeColor="text1"/>
          <w:shd w:val="clear" w:color="auto" w:fill="FFFFFF"/>
        </w:rPr>
        <w:t>beta_</w:t>
      </w:r>
      <w:proofErr w:type="gramStart"/>
      <w:r w:rsidR="00BB31F7">
        <w:rPr>
          <w:rFonts w:ascii="Times New Roman" w:hAnsi="Times New Roman"/>
          <w:color w:val="000000" w:themeColor="text1"/>
          <w:shd w:val="clear" w:color="auto" w:fill="FFFFFF"/>
        </w:rPr>
        <w:t>dispr</w:t>
      </w:r>
      <w:proofErr w:type="spellEnd"/>
      <w:r w:rsidR="00BB31F7">
        <w:rPr>
          <w:rFonts w:ascii="Times New Roman" w:hAnsi="Times New Roman"/>
          <w:color w:val="000000" w:themeColor="text1"/>
          <w:shd w:val="clear" w:color="auto" w:fill="FFFFFF"/>
        </w:rPr>
        <w:t>(</w:t>
      </w:r>
      <w:proofErr w:type="gramEnd"/>
      <w:r w:rsidR="00BB31F7">
        <w:rPr>
          <w:rFonts w:ascii="Times New Roman" w:hAnsi="Times New Roman"/>
          <w:color w:val="000000" w:themeColor="text1"/>
          <w:shd w:val="clear" w:color="auto" w:fill="FFFFFF"/>
        </w:rPr>
        <w:t xml:space="preserve">). </w:t>
      </w:r>
      <w:r w:rsidR="002F4D3B">
        <w:rPr>
          <w:rFonts w:ascii="Times New Roman" w:hAnsi="Times New Roman"/>
          <w:color w:val="000000" w:themeColor="text1"/>
          <w:shd w:val="clear" w:color="auto" w:fill="FFFFFF"/>
        </w:rPr>
        <w:t xml:space="preserve">All chemical treatments were analyzed separately and then again when combined as single treatment group (e.g., chemical herbicide). </w:t>
      </w:r>
      <w:r w:rsidR="0053582D">
        <w:rPr>
          <w:rFonts w:ascii="Times New Roman" w:hAnsi="Times New Roman"/>
          <w:color w:val="000000" w:themeColor="text1"/>
          <w:shd w:val="clear" w:color="auto" w:fill="FFFFFF"/>
        </w:rPr>
        <w:t>Shifts in community composition were visualized using NMDS</w:t>
      </w:r>
      <w:r w:rsidR="00BB31F7">
        <w:rPr>
          <w:rFonts w:ascii="Times New Roman" w:hAnsi="Times New Roman"/>
          <w:color w:val="000000" w:themeColor="text1"/>
          <w:shd w:val="clear" w:color="auto" w:fill="FFFFFF"/>
        </w:rPr>
        <w:t xml:space="preserve"> or </w:t>
      </w:r>
      <w:proofErr w:type="spellStart"/>
      <w:r w:rsidR="00BB31F7">
        <w:rPr>
          <w:rFonts w:ascii="Times New Roman" w:hAnsi="Times New Roman"/>
          <w:color w:val="000000" w:themeColor="text1"/>
          <w:shd w:val="clear" w:color="auto" w:fill="FFFFFF"/>
        </w:rPr>
        <w:t>Capscale</w:t>
      </w:r>
      <w:proofErr w:type="spellEnd"/>
      <w:r w:rsidR="0053582D">
        <w:rPr>
          <w:rFonts w:ascii="Times New Roman" w:hAnsi="Times New Roman"/>
          <w:color w:val="000000" w:themeColor="text1"/>
          <w:shd w:val="clear" w:color="auto" w:fill="FFFFFF"/>
        </w:rPr>
        <w:t xml:space="preserve">, implemented in the vegan and </w:t>
      </w:r>
      <w:proofErr w:type="spellStart"/>
      <w:r w:rsidR="0053582D">
        <w:rPr>
          <w:rFonts w:ascii="Times New Roman" w:hAnsi="Times New Roman"/>
          <w:color w:val="000000" w:themeColor="text1"/>
          <w:shd w:val="clear" w:color="auto" w:fill="FFFFFF"/>
        </w:rPr>
        <w:t>ggordiplots</w:t>
      </w:r>
      <w:proofErr w:type="spellEnd"/>
      <w:r w:rsidR="0053582D">
        <w:rPr>
          <w:rFonts w:ascii="Times New Roman" w:hAnsi="Times New Roman"/>
          <w:color w:val="000000" w:themeColor="text1"/>
          <w:shd w:val="clear" w:color="auto" w:fill="FFFFFF"/>
        </w:rPr>
        <w:t xml:space="preserve"> packages. </w:t>
      </w:r>
      <w:commentRangeStart w:id="5"/>
      <w:r w:rsidR="00BB31F7">
        <w:rPr>
          <w:rFonts w:ascii="Times New Roman" w:hAnsi="Times New Roman"/>
          <w:color w:val="000000" w:themeColor="text1"/>
          <w:shd w:val="clear" w:color="auto" w:fill="FFFFFF"/>
        </w:rPr>
        <w:t xml:space="preserve">Important taxa were </w:t>
      </w:r>
      <w:r w:rsidR="006067D4">
        <w:rPr>
          <w:rFonts w:ascii="Times New Roman" w:hAnsi="Times New Roman"/>
          <w:color w:val="000000" w:themeColor="text1"/>
          <w:shd w:val="clear" w:color="auto" w:fill="FFFFFF"/>
        </w:rPr>
        <w:t>identified</w:t>
      </w:r>
      <w:r w:rsidR="00BB31F7">
        <w:rPr>
          <w:rFonts w:ascii="Times New Roman" w:hAnsi="Times New Roman"/>
          <w:color w:val="000000" w:themeColor="text1"/>
          <w:shd w:val="clear" w:color="auto" w:fill="FFFFFF"/>
        </w:rPr>
        <w:t xml:space="preserve"> via </w:t>
      </w:r>
      <w:proofErr w:type="spellStart"/>
      <w:r w:rsidR="006067D4">
        <w:rPr>
          <w:rFonts w:ascii="Times New Roman" w:hAnsi="Times New Roman"/>
          <w:color w:val="000000" w:themeColor="text1"/>
          <w:shd w:val="clear" w:color="auto" w:fill="FFFFFF"/>
        </w:rPr>
        <w:t>Baruta</w:t>
      </w:r>
      <w:proofErr w:type="spellEnd"/>
      <w:r w:rsidR="006067D4">
        <w:rPr>
          <w:rFonts w:ascii="Times New Roman" w:hAnsi="Times New Roman"/>
          <w:color w:val="000000" w:themeColor="text1"/>
          <w:shd w:val="clear" w:color="auto" w:fill="FFFFFF"/>
        </w:rPr>
        <w:t xml:space="preserve"> classification </w:t>
      </w:r>
      <w:r w:rsidR="006067D4">
        <w:rPr>
          <w:rFonts w:ascii="Times New Roman" w:hAnsi="Times New Roman"/>
          <w:color w:val="000000" w:themeColor="text1"/>
          <w:shd w:val="clear" w:color="auto" w:fill="FFFFFF"/>
        </w:rPr>
        <w:fldChar w:fldCharType="begin" w:fldLock="1"/>
      </w:r>
      <w:r w:rsidR="006067D4">
        <w:rPr>
          <w:rFonts w:ascii="Times New Roman" w:hAnsi="Times New Roman"/>
          <w:color w:val="000000" w:themeColor="text1"/>
          <w:shd w:val="clear" w:color="auto" w:fill="FFFFFF"/>
        </w:rPr>
        <w:instrText>ADDIN CSL_CITATION {"citationItems":[{"id":"ITEM-1","itemData":{"abstract":"Boruta is an all relevant feature selection wrapper algorithm, capable of working with any classification method that output variable importance measure (VIM); by default, Boruta uses Random Forest. The method performs a top-down search for relevant features by comparing original attributes’ importance with importance achievable at random, estimated using their permuted copies, and progressively eliminating irrelevant features to stabilise that test.","author":[{"dropping-particle":"","family":"Kursa","given":"Miron B.","non-dropping-particle":"","parse-names":false,"suffix":""},{"dropping-particle":"","family":"Rudnicki","given":"Witold Remigiusz","non-dropping-particle":"","parse-names":false,"suffix":""}],"id":"ITEM-1","issued":{"date-parts":[["2020"]]},"page":"1-17","title":"Boruta: Wrapper Algorithm for All Relevant Feature Selection","type":"article"},"uris":["http://www.mendeley.com/documents/?uuid=bee0d832-9157-49ce-bbfb-28e45240a60b"]}],"mendeley":{"formattedCitation":"(43)","plainTextFormattedCitation":"(43)","previouslyFormattedCitation":"(43)"},"properties":{"noteIndex":0},"schema":"https://github.com/citation-style-language/schema/raw/master/csl-citation.json"}</w:instrText>
      </w:r>
      <w:r w:rsidR="006067D4">
        <w:rPr>
          <w:rFonts w:ascii="Times New Roman" w:hAnsi="Times New Roman"/>
          <w:color w:val="000000" w:themeColor="text1"/>
          <w:shd w:val="clear" w:color="auto" w:fill="FFFFFF"/>
        </w:rPr>
        <w:fldChar w:fldCharType="separate"/>
      </w:r>
      <w:r w:rsidR="006067D4" w:rsidRPr="006067D4">
        <w:rPr>
          <w:rFonts w:ascii="Times New Roman" w:hAnsi="Times New Roman"/>
          <w:noProof/>
          <w:color w:val="000000" w:themeColor="text1"/>
          <w:shd w:val="clear" w:color="auto" w:fill="FFFFFF"/>
        </w:rPr>
        <w:t>(43)</w:t>
      </w:r>
      <w:r w:rsidR="006067D4">
        <w:rPr>
          <w:rFonts w:ascii="Times New Roman" w:hAnsi="Times New Roman"/>
          <w:color w:val="000000" w:themeColor="text1"/>
          <w:shd w:val="clear" w:color="auto" w:fill="FFFFFF"/>
        </w:rPr>
        <w:fldChar w:fldCharType="end"/>
      </w:r>
      <w:r w:rsidR="004D203E">
        <w:rPr>
          <w:rFonts w:ascii="Times New Roman" w:hAnsi="Times New Roman"/>
          <w:color w:val="000000" w:themeColor="text1"/>
          <w:shd w:val="clear" w:color="auto" w:fill="FFFFFF"/>
        </w:rPr>
        <w:t xml:space="preserve">, </w:t>
      </w:r>
      <w:r w:rsidR="006067D4">
        <w:rPr>
          <w:rFonts w:ascii="Times New Roman" w:hAnsi="Times New Roman"/>
          <w:color w:val="000000" w:themeColor="text1"/>
          <w:shd w:val="clear" w:color="auto" w:fill="FFFFFF"/>
        </w:rPr>
        <w:t xml:space="preserve">simper </w:t>
      </w:r>
      <w:r w:rsidR="006067D4">
        <w:rPr>
          <w:rFonts w:ascii="Times New Roman" w:hAnsi="Times New Roman"/>
          <w:color w:val="000000" w:themeColor="text1"/>
          <w:shd w:val="clear" w:color="auto" w:fill="FFFFFF"/>
        </w:rPr>
        <w:fldChar w:fldCharType="begin" w:fldLock="1"/>
      </w:r>
      <w:r w:rsidR="006067D4">
        <w:rPr>
          <w:rFonts w:ascii="Times New Roman" w:hAnsi="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mendeley":{"formattedCitation":"(40)","plainTextFormattedCitation":"(40)","previouslyFormattedCitation":"(44)"},"properties":{"noteIndex":0},"schema":"https://github.com/citation-style-language/schema/raw/master/csl-citation.json"}</w:instrText>
      </w:r>
      <w:r w:rsidR="006067D4">
        <w:rPr>
          <w:rFonts w:ascii="Times New Roman" w:hAnsi="Times New Roman"/>
          <w:color w:val="000000" w:themeColor="text1"/>
          <w:shd w:val="clear" w:color="auto" w:fill="FFFFFF"/>
        </w:rPr>
        <w:fldChar w:fldCharType="separate"/>
      </w:r>
      <w:r w:rsidR="006067D4" w:rsidRPr="006067D4">
        <w:rPr>
          <w:rFonts w:ascii="Times New Roman" w:hAnsi="Times New Roman"/>
          <w:noProof/>
          <w:color w:val="000000" w:themeColor="text1"/>
          <w:shd w:val="clear" w:color="auto" w:fill="FFFFFF"/>
        </w:rPr>
        <w:t>(40)</w:t>
      </w:r>
      <w:r w:rsidR="006067D4">
        <w:rPr>
          <w:rFonts w:ascii="Times New Roman" w:hAnsi="Times New Roman"/>
          <w:color w:val="000000" w:themeColor="text1"/>
          <w:shd w:val="clear" w:color="auto" w:fill="FFFFFF"/>
        </w:rPr>
        <w:fldChar w:fldCharType="end"/>
      </w:r>
      <w:r w:rsidR="004D203E">
        <w:rPr>
          <w:rFonts w:ascii="Times New Roman" w:hAnsi="Times New Roman"/>
          <w:color w:val="000000" w:themeColor="text1"/>
          <w:shd w:val="clear" w:color="auto" w:fill="FFFFFF"/>
        </w:rPr>
        <w:t>, and taking the top 25 most abundant</w:t>
      </w:r>
      <w:r w:rsidR="00BB31F7">
        <w:rPr>
          <w:rFonts w:ascii="Times New Roman" w:hAnsi="Times New Roman"/>
          <w:color w:val="000000" w:themeColor="text1"/>
          <w:shd w:val="clear" w:color="auto" w:fill="FFFFFF"/>
        </w:rPr>
        <w:t>.</w:t>
      </w:r>
      <w:r w:rsidR="006067D4">
        <w:rPr>
          <w:rFonts w:ascii="Times New Roman" w:hAnsi="Times New Roman"/>
          <w:color w:val="000000" w:themeColor="text1"/>
          <w:shd w:val="clear" w:color="auto" w:fill="FFFFFF"/>
        </w:rPr>
        <w:t xml:space="preserve"> Taxa identified were then modeled using zero-inflated beta regression with time and weed removal treatment as fixed effects.  </w:t>
      </w:r>
      <w:r w:rsidR="0053582D">
        <w:rPr>
          <w:rFonts w:ascii="Times New Roman" w:hAnsi="Times New Roman"/>
          <w:color w:val="000000" w:themeColor="text1"/>
          <w:shd w:val="clear" w:color="auto" w:fill="FFFFFF"/>
        </w:rPr>
        <w:t xml:space="preserve"> </w:t>
      </w:r>
      <w:commentRangeEnd w:id="5"/>
      <w:r w:rsidR="00BB31F7">
        <w:rPr>
          <w:rStyle w:val="CommentReference"/>
          <w:rFonts w:ascii="Times New Roman" w:eastAsia="Times New Roman" w:hAnsi="Times New Roman" w:cs="Times New Roman"/>
          <w:color w:val="000000"/>
          <w:lang w:eastAsia="de-DE"/>
        </w:rPr>
        <w:commentReference w:id="5"/>
      </w:r>
    </w:p>
    <w:p w14:paraId="6901F56A" w14:textId="77777777" w:rsidR="00B3074D" w:rsidRPr="00B3074D" w:rsidRDefault="00B3074D" w:rsidP="00B3074D">
      <w:pPr>
        <w:pStyle w:val="headingdissertation"/>
        <w:spacing w:line="480" w:lineRule="auto"/>
      </w:pPr>
      <w:bookmarkStart w:id="6" w:name="_Toc71026835"/>
      <w:r w:rsidRPr="00B3074D">
        <w:t>Results</w:t>
      </w:r>
      <w:bookmarkEnd w:id="6"/>
      <w:r w:rsidRPr="00B3074D">
        <w:t xml:space="preserve"> </w:t>
      </w:r>
    </w:p>
    <w:p w14:paraId="0B30C059"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Vegetation responses</w:t>
      </w:r>
    </w:p>
    <w:p w14:paraId="684FCBD4" w14:textId="74F6A572"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lastRenderedPageBreak/>
        <w:t>As was expected, herbicide application controlled total weedy vegetation at 10</w:t>
      </w:r>
      <w:r w:rsidR="002F4D3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days (time two) and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(time three) post-treatment (p &lt; 0.05). When the cover of weedy species was examined individually, only lamb’s quarter and pigweed had sufficient cover to estimate differences among time points. Like total weedy cover, herbicide application reduced lamb’s quarter and redroot pigweed cover at </w:t>
      </w:r>
      <w:r w:rsidR="002F4D3B" w:rsidRPr="00B3074D">
        <w:rPr>
          <w:rFonts w:ascii="Times New Roman" w:hAnsi="Times New Roman" w:cs="Times New Roman"/>
          <w:color w:val="000000" w:themeColor="text1"/>
          <w:shd w:val="clear" w:color="auto" w:fill="FFFFFF"/>
        </w:rPr>
        <w:t>10- and 20-days</w:t>
      </w:r>
      <w:r w:rsidRPr="00B3074D">
        <w:rPr>
          <w:rFonts w:ascii="Times New Roman" w:hAnsi="Times New Roman" w:cs="Times New Roman"/>
          <w:color w:val="000000" w:themeColor="text1"/>
          <w:shd w:val="clear" w:color="auto" w:fill="FFFFFF"/>
        </w:rPr>
        <w:t xml:space="preserve"> post-application when compared to the nontreated plots. At 10</w:t>
      </w:r>
      <w:r w:rsidR="002F4D3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days post-treatment, the handweeded controls also showed a significant drop in total weedy vegetation, lamb’s quarter, and redroot pigweed cover as compared to the nontreated plots (p &lt; 0.05). However, the observed decreases in cover disappeared at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and weedy vegetation levels were no longer different from the nontreated plots as compared to the nontreated plots. </w:t>
      </w:r>
    </w:p>
    <w:p w14:paraId="584B7861"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Edaphic properties</w:t>
      </w:r>
    </w:p>
    <w:p w14:paraId="6255FE73" w14:textId="2A896BBB" w:rsidR="00B3074D" w:rsidRPr="0014353D" w:rsidRDefault="00B3074D" w:rsidP="00B3074D">
      <w:pPr>
        <w:spacing w:line="480" w:lineRule="auto"/>
        <w:rPr>
          <w:rFonts w:ascii="Times New Roman" w:hAnsi="Times New Roman" w:cs="Times New Roman"/>
          <w:strike/>
          <w:color w:val="000000" w:themeColor="text1"/>
          <w:shd w:val="clear" w:color="auto" w:fill="FFFFFF"/>
        </w:rPr>
      </w:pPr>
      <w:r w:rsidRPr="00B3074D">
        <w:rPr>
          <w:rFonts w:ascii="Times New Roman" w:hAnsi="Times New Roman" w:cs="Times New Roman"/>
          <w:color w:val="000000" w:themeColor="text1"/>
          <w:shd w:val="clear" w:color="auto" w:fill="FFFFFF"/>
        </w:rPr>
        <w:t>Examination of edaphic parameters within in a single time point revealed no significant differences pre-treatment (time one) among the weed removal treatments when the effect of total weedy vegetation was accounted for (</w:t>
      </w:r>
      <w:commentRangeStart w:id="7"/>
      <w:commentRangeStart w:id="8"/>
      <w:r w:rsidRPr="002F4D3B">
        <w:rPr>
          <w:rFonts w:ascii="Times New Roman" w:hAnsi="Times New Roman" w:cs="Times New Roman"/>
          <w:color w:val="000000" w:themeColor="text1"/>
          <w:highlight w:val="yellow"/>
          <w:shd w:val="clear" w:color="auto" w:fill="FFFFFF"/>
        </w:rPr>
        <w:t>Table</w:t>
      </w:r>
      <w:commentRangeEnd w:id="7"/>
      <w:r w:rsidR="002F4D3B">
        <w:rPr>
          <w:rStyle w:val="CommentReference"/>
          <w:rFonts w:ascii="Times New Roman" w:eastAsia="Times New Roman" w:hAnsi="Times New Roman" w:cs="Times New Roman"/>
          <w:color w:val="000000"/>
          <w:lang w:eastAsia="de-DE"/>
        </w:rPr>
        <w:commentReference w:id="7"/>
      </w:r>
      <w:r w:rsidRPr="002F4D3B">
        <w:rPr>
          <w:rFonts w:ascii="Times New Roman" w:hAnsi="Times New Roman" w:cs="Times New Roman"/>
          <w:color w:val="000000" w:themeColor="text1"/>
          <w:highlight w:val="yellow"/>
          <w:shd w:val="clear" w:color="auto" w:fill="FFFFFF"/>
        </w:rPr>
        <w:t xml:space="preserve"> 2 </w:t>
      </w:r>
      <w:commentRangeEnd w:id="8"/>
      <w:r w:rsidR="0014353D" w:rsidRPr="002F4D3B">
        <w:rPr>
          <w:rStyle w:val="CommentReference"/>
          <w:rFonts w:ascii="Times New Roman" w:eastAsia="Times New Roman" w:hAnsi="Times New Roman" w:cs="Times New Roman"/>
          <w:color w:val="000000"/>
          <w:highlight w:val="yellow"/>
          <w:lang w:eastAsia="de-DE"/>
        </w:rPr>
        <w:commentReference w:id="8"/>
      </w:r>
      <w:r w:rsidRPr="002F4D3B">
        <w:rPr>
          <w:rFonts w:ascii="Times New Roman" w:hAnsi="Times New Roman" w:cs="Times New Roman"/>
          <w:color w:val="000000" w:themeColor="text1"/>
          <w:highlight w:val="yellow"/>
          <w:shd w:val="clear" w:color="auto" w:fill="FFFFFF"/>
        </w:rPr>
        <w:t>and Supplementary Tables 1a and 1b</w:t>
      </w:r>
      <w:r w:rsidRPr="00B3074D">
        <w:rPr>
          <w:rFonts w:ascii="Times New Roman" w:hAnsi="Times New Roman" w:cs="Times New Roman"/>
          <w:color w:val="000000" w:themeColor="text1"/>
          <w:shd w:val="clear" w:color="auto" w:fill="FFFFFF"/>
        </w:rPr>
        <w:t xml:space="preserve">). At </w:t>
      </w:r>
      <w:r w:rsidR="002F4D3B">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(time two) and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(time three) post-treatment, </w:t>
      </w:r>
      <w:proofErr w:type="gramStart"/>
      <w:r w:rsidRPr="00B3074D">
        <w:rPr>
          <w:rFonts w:ascii="Times New Roman" w:hAnsi="Times New Roman" w:cs="Times New Roman"/>
          <w:color w:val="000000" w:themeColor="text1"/>
          <w:shd w:val="clear" w:color="auto" w:fill="FFFFFF"/>
        </w:rPr>
        <w:t>nitrate</w:t>
      </w:r>
      <w:proofErr w:type="gramEnd"/>
      <w:r w:rsidRPr="00B3074D">
        <w:rPr>
          <w:rFonts w:ascii="Times New Roman" w:hAnsi="Times New Roman" w:cs="Times New Roman"/>
          <w:color w:val="000000" w:themeColor="text1"/>
          <w:shd w:val="clear" w:color="auto" w:fill="FFFFFF"/>
        </w:rPr>
        <w:t xml:space="preserve"> and total inorganic nitrogen (N) concentration were significantly different</w:t>
      </w:r>
      <w:r w:rsidR="002F4D3B">
        <w:rPr>
          <w:rFonts w:ascii="Times New Roman" w:hAnsi="Times New Roman" w:cs="Times New Roman"/>
          <w:color w:val="000000" w:themeColor="text1"/>
          <w:shd w:val="clear" w:color="auto" w:fill="FFFFFF"/>
        </w:rPr>
        <w:t xml:space="preserve"> among treatment types</w:t>
      </w:r>
      <w:r w:rsidRPr="00B3074D">
        <w:rPr>
          <w:rFonts w:ascii="Times New Roman" w:hAnsi="Times New Roman" w:cs="Times New Roman"/>
          <w:color w:val="000000" w:themeColor="text1"/>
          <w:shd w:val="clear" w:color="auto" w:fill="FFFFFF"/>
        </w:rPr>
        <w:t xml:space="preserve"> (p &lt; 0.05) (Table 2), with weed removal treatment being a significant predictor at both time points but total weedy vegetation being significant only for sampling time two. Plots treated with </w:t>
      </w:r>
      <w:proofErr w:type="spellStart"/>
      <w:r w:rsidRPr="00B3074D">
        <w:rPr>
          <w:rFonts w:ascii="Times New Roman" w:hAnsi="Times New Roman" w:cs="Times New Roman"/>
          <w:color w:val="000000" w:themeColor="text1"/>
          <w:shd w:val="clear" w:color="auto" w:fill="FFFFFF"/>
        </w:rPr>
        <w:t>RoundUp</w:t>
      </w:r>
      <w:proofErr w:type="spellEnd"/>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had higher levels of nitrate and total inorganic N than the handweeded plots at time</w:t>
      </w:r>
      <w:r w:rsidR="0014353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point two and three (p &lt; 0.05). At time three, Roundup treated plots also had significantly higher nitrate concentrations as compared to the nontreated and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treated plots (p &lt; 0.05). We observed the same trend at sampling time two, but the differences were only marginally significant (</w:t>
      </w:r>
      <w:proofErr w:type="gramStart"/>
      <w:r w:rsidRPr="00B3074D">
        <w:rPr>
          <w:rFonts w:ascii="Times New Roman" w:hAnsi="Times New Roman" w:cs="Times New Roman"/>
          <w:color w:val="000000" w:themeColor="text1"/>
          <w:shd w:val="clear" w:color="auto" w:fill="FFFFFF"/>
        </w:rPr>
        <w:t>p  &lt;</w:t>
      </w:r>
      <w:proofErr w:type="gramEnd"/>
      <w:r w:rsidRPr="00B3074D">
        <w:rPr>
          <w:rFonts w:ascii="Times New Roman" w:hAnsi="Times New Roman" w:cs="Times New Roman"/>
          <w:color w:val="000000" w:themeColor="text1"/>
          <w:shd w:val="clear" w:color="auto" w:fill="FFFFFF"/>
        </w:rPr>
        <w:t xml:space="preserve"> 0.09). </w:t>
      </w:r>
    </w:p>
    <w:p w14:paraId="180F5A1F" w14:textId="54673576"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lastRenderedPageBreak/>
        <w:tab/>
        <w:t>When examining how our soil variables changed over time within a single weed removal treatment, multiple differences were observed. Significant models include nitrate, nitrite, ammonium, total inorganic N, phosphate, calcium, magnesium, pH, EC, and gravimetric moisture content (p &lt; 0.05) (</w:t>
      </w:r>
      <w:r w:rsidRPr="002F4D3B">
        <w:rPr>
          <w:rFonts w:ascii="Times New Roman" w:hAnsi="Times New Roman" w:cs="Times New Roman"/>
          <w:color w:val="000000" w:themeColor="text1"/>
          <w:highlight w:val="yellow"/>
          <w:shd w:val="clear" w:color="auto" w:fill="FFFFFF"/>
        </w:rPr>
        <w:t>Table 3 and Supplementary Tables 2a and 2b</w:t>
      </w:r>
      <w:r w:rsidRPr="00B3074D">
        <w:rPr>
          <w:rFonts w:ascii="Times New Roman" w:hAnsi="Times New Roman" w:cs="Times New Roman"/>
          <w:color w:val="000000" w:themeColor="text1"/>
          <w:shd w:val="clear" w:color="auto" w:fill="FFFFFF"/>
        </w:rPr>
        <w:t>). Pairwise contrasts showed time one to have the highest levels of nitrate and total inorganic N across all treatments (p &lt; 0.05). This was also true for the concentration of magnesium and calcium, with a trend of decreasing concentration</w:t>
      </w:r>
      <w:r w:rsidR="0014353D">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over the </w:t>
      </w:r>
      <w:r w:rsidR="002F4D3B" w:rsidRPr="00B3074D">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sampling period. Total weedy vegetation was only a significant predictor of nitrate concentration in the handweeded plots</w:t>
      </w:r>
      <w:r w:rsidR="0014353D">
        <w:rPr>
          <w:rFonts w:ascii="Times New Roman" w:hAnsi="Times New Roman" w:cs="Times New Roman"/>
          <w:color w:val="000000" w:themeColor="text1"/>
          <w:shd w:val="clear" w:color="auto" w:fill="FFFFFF"/>
        </w:rPr>
        <w:t xml:space="preserve"> (p &lt; 0.05)</w:t>
      </w:r>
      <w:r w:rsidRPr="00B3074D">
        <w:rPr>
          <w:rFonts w:ascii="Times New Roman" w:hAnsi="Times New Roman" w:cs="Times New Roman"/>
          <w:color w:val="000000" w:themeColor="text1"/>
          <w:shd w:val="clear" w:color="auto" w:fill="FFFFFF"/>
        </w:rPr>
        <w:t xml:space="preserve">. Moisture content was also significantly different across time in all treatment types including controls (p &lt; 0.05) and showed the opposite trend of many nutrients, with the later sampling times having higher moisture content in all cases.  </w:t>
      </w:r>
    </w:p>
    <w:p w14:paraId="200110A9" w14:textId="4AD8FDCB"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Across all treatment types and sampling times, the concentration of nitrate was found to be negatively correlated with total vegetation cover, redroot pigweed cover, and lamb’s quarter cover (p &lt; 0.05, r &lt; -0.14). Ammonium, </w:t>
      </w:r>
      <w:r w:rsidR="002F4D3B" w:rsidRPr="00B3074D">
        <w:rPr>
          <w:rFonts w:ascii="Times New Roman" w:hAnsi="Times New Roman" w:cs="Times New Roman"/>
          <w:color w:val="000000" w:themeColor="text1"/>
          <w:shd w:val="clear" w:color="auto" w:fill="FFFFFF"/>
        </w:rPr>
        <w:t>calcium,</w:t>
      </w:r>
      <w:r w:rsidRPr="00B3074D">
        <w:rPr>
          <w:rFonts w:ascii="Times New Roman" w:hAnsi="Times New Roman" w:cs="Times New Roman"/>
          <w:color w:val="000000" w:themeColor="text1"/>
          <w:shd w:val="clear" w:color="auto" w:fill="FFFFFF"/>
        </w:rPr>
        <w:t xml:space="preserve"> and magnesium showed the opposite trend and were positively correlated with total vegetation and redroot pigweed cover (p &lt; 0.01, r &gt; 0.19). Only redroot pigweed produced a significant correlation between % cover and phosphate concentration (p &lt; 0.001, r = -0.25). </w:t>
      </w:r>
    </w:p>
    <w:p w14:paraId="63E8DC1D"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Extracellular enzymes</w:t>
      </w:r>
    </w:p>
    <w:p w14:paraId="775131A1" w14:textId="0D08ED6F" w:rsidR="00B3074D" w:rsidRPr="00B3074D" w:rsidRDefault="0014353D" w:rsidP="00B3074D">
      <w:pPr>
        <w:spacing w:line="480" w:lineRule="auto"/>
        <w:rPr>
          <w:rFonts w:ascii="Times New Roman" w:hAnsi="Times New Roman" w:cs="Times New Roman"/>
          <w:color w:val="000000" w:themeColor="text1"/>
        </w:rPr>
      </w:pPr>
      <w:r>
        <w:rPr>
          <w:rFonts w:ascii="Times New Roman" w:hAnsi="Times New Roman" w:cs="Times New Roman"/>
          <w:color w:val="000000" w:themeColor="text1"/>
          <w:shd w:val="clear" w:color="auto" w:fill="FFFFFF"/>
        </w:rPr>
        <w:t xml:space="preserve">We report </w:t>
      </w:r>
      <w:r w:rsidR="00B3074D" w:rsidRPr="00B3074D">
        <w:rPr>
          <w:rFonts w:ascii="Times New Roman" w:hAnsi="Times New Roman" w:cs="Times New Roman"/>
          <w:color w:val="000000" w:themeColor="text1"/>
          <w:shd w:val="clear" w:color="auto" w:fill="FFFFFF"/>
        </w:rPr>
        <w:t>the response of extracellular enzyme activity to weed removal treatment to be limited as well as enzyme and sampling time specific. There were no significant differences in total enzymatic profiles among treatments at any of the sampling times (p &gt; 0.25, F</w:t>
      </w:r>
      <w:r w:rsidR="00B3074D" w:rsidRPr="00B3074D">
        <w:rPr>
          <w:rFonts w:ascii="Times New Roman" w:hAnsi="Times New Roman" w:cs="Times New Roman"/>
          <w:color w:val="000000" w:themeColor="text1"/>
          <w:shd w:val="clear" w:color="auto" w:fill="FFFFFF"/>
          <w:vertAlign w:val="subscript"/>
        </w:rPr>
        <w:t>4,14</w:t>
      </w:r>
      <w:r w:rsidR="00B3074D" w:rsidRPr="00B3074D">
        <w:rPr>
          <w:rFonts w:ascii="Times New Roman" w:hAnsi="Times New Roman" w:cs="Times New Roman"/>
          <w:color w:val="000000" w:themeColor="text1"/>
          <w:shd w:val="clear" w:color="auto" w:fill="FFFFFF"/>
        </w:rPr>
        <w:t xml:space="preserve"> &lt; 1.261, R</w:t>
      </w:r>
      <w:r w:rsidR="00B3074D" w:rsidRPr="00B3074D">
        <w:rPr>
          <w:rFonts w:ascii="Times New Roman" w:hAnsi="Times New Roman" w:cs="Times New Roman"/>
          <w:color w:val="000000" w:themeColor="text1"/>
          <w:shd w:val="clear" w:color="auto" w:fill="FFFFFF"/>
          <w:vertAlign w:val="superscript"/>
        </w:rPr>
        <w:t xml:space="preserve">2 </w:t>
      </w:r>
      <w:r w:rsidR="00B3074D" w:rsidRPr="00B3074D">
        <w:rPr>
          <w:rFonts w:ascii="Times New Roman" w:hAnsi="Times New Roman" w:cs="Times New Roman"/>
          <w:color w:val="000000" w:themeColor="text1"/>
          <w:shd w:val="clear" w:color="auto" w:fill="FFFFFF"/>
        </w:rPr>
        <w:t>&lt; 0.195). However, total weedy vegetation cover was a significant predictor of differences in enzymatic profiles at the 10</w:t>
      </w:r>
      <w:r w:rsidR="002F4D3B">
        <w:rPr>
          <w:rFonts w:ascii="Times New Roman" w:hAnsi="Times New Roman" w:cs="Times New Roman"/>
          <w:color w:val="000000" w:themeColor="text1"/>
          <w:shd w:val="clear" w:color="auto" w:fill="FFFFFF"/>
        </w:rPr>
        <w:t>-</w:t>
      </w:r>
      <w:r w:rsidR="00B3074D" w:rsidRPr="00B3074D">
        <w:rPr>
          <w:rFonts w:ascii="Times New Roman" w:hAnsi="Times New Roman" w:cs="Times New Roman"/>
          <w:color w:val="000000" w:themeColor="text1"/>
          <w:shd w:val="clear" w:color="auto" w:fill="FFFFFF"/>
        </w:rPr>
        <w:t xml:space="preserve"> and </w:t>
      </w:r>
      <w:r w:rsidR="002F4D3B">
        <w:rPr>
          <w:rFonts w:ascii="Times New Roman" w:hAnsi="Times New Roman" w:cs="Times New Roman"/>
          <w:color w:val="000000" w:themeColor="text1"/>
          <w:shd w:val="clear" w:color="auto" w:fill="FFFFFF"/>
        </w:rPr>
        <w:t>20-days</w:t>
      </w:r>
      <w:r w:rsidR="00B3074D" w:rsidRPr="00B3074D">
        <w:rPr>
          <w:rFonts w:ascii="Times New Roman" w:hAnsi="Times New Roman" w:cs="Times New Roman"/>
          <w:color w:val="000000" w:themeColor="text1"/>
          <w:shd w:val="clear" w:color="auto" w:fill="FFFFFF"/>
        </w:rPr>
        <w:t xml:space="preserve"> post-treatment sample times (p &lt; 0.05, F</w:t>
      </w:r>
      <w:r w:rsidR="00B3074D" w:rsidRPr="00B3074D">
        <w:rPr>
          <w:rFonts w:ascii="Times New Roman" w:hAnsi="Times New Roman" w:cs="Times New Roman"/>
          <w:color w:val="000000" w:themeColor="text1"/>
          <w:shd w:val="clear" w:color="auto" w:fill="FFFFFF"/>
          <w:vertAlign w:val="subscript"/>
        </w:rPr>
        <w:t>1,14</w:t>
      </w:r>
      <w:r w:rsidR="00B3074D" w:rsidRPr="00B3074D">
        <w:rPr>
          <w:rFonts w:ascii="Times New Roman" w:hAnsi="Times New Roman" w:cs="Times New Roman"/>
          <w:color w:val="000000" w:themeColor="text1"/>
          <w:shd w:val="clear" w:color="auto" w:fill="FFFFFF"/>
        </w:rPr>
        <w:t xml:space="preserve"> &gt; 4.411, </w:t>
      </w:r>
      <w:r w:rsidR="00B3074D" w:rsidRPr="00B3074D">
        <w:rPr>
          <w:rFonts w:ascii="Times New Roman" w:hAnsi="Times New Roman" w:cs="Times New Roman"/>
          <w:color w:val="000000" w:themeColor="text1"/>
          <w:shd w:val="clear" w:color="auto" w:fill="FFFFFF"/>
        </w:rPr>
        <w:lastRenderedPageBreak/>
        <w:t>R</w:t>
      </w:r>
      <w:r w:rsidR="00B3074D" w:rsidRPr="00B3074D">
        <w:rPr>
          <w:rFonts w:ascii="Times New Roman" w:hAnsi="Times New Roman" w:cs="Times New Roman"/>
          <w:color w:val="000000" w:themeColor="text1"/>
          <w:shd w:val="clear" w:color="auto" w:fill="FFFFFF"/>
          <w:vertAlign w:val="superscript"/>
        </w:rPr>
        <w:t>2</w:t>
      </w:r>
      <w:r w:rsidR="00B3074D" w:rsidRPr="00B3074D">
        <w:rPr>
          <w:rFonts w:ascii="Times New Roman" w:hAnsi="Times New Roman" w:cs="Times New Roman"/>
          <w:color w:val="000000" w:themeColor="text1"/>
          <w:shd w:val="clear" w:color="auto" w:fill="FFFFFF"/>
        </w:rPr>
        <w:t xml:space="preserve"> &gt; 0.195). With respect to individual enzymes, only alkaline phosphatase (PHOS), </w:t>
      </w:r>
      <w:r w:rsidR="00B3074D" w:rsidRPr="00B3074D">
        <w:rPr>
          <w:rFonts w:ascii="Times New Roman" w:hAnsi="Times New Roman" w:cs="Times New Roman"/>
          <w:color w:val="000000" w:themeColor="text1"/>
        </w:rPr>
        <w:t xml:space="preserve">ß-glucosidase (BG), and the ratio of N:P cycling enzymes </w:t>
      </w:r>
      <w:r>
        <w:rPr>
          <w:rFonts w:ascii="Times New Roman" w:hAnsi="Times New Roman" w:cs="Times New Roman"/>
          <w:color w:val="000000" w:themeColor="text1"/>
        </w:rPr>
        <w:t>produced</w:t>
      </w:r>
      <w:r w:rsidR="00B3074D" w:rsidRPr="00B3074D">
        <w:rPr>
          <w:rFonts w:ascii="Times New Roman" w:hAnsi="Times New Roman" w:cs="Times New Roman"/>
          <w:color w:val="000000" w:themeColor="text1"/>
        </w:rPr>
        <w:t xml:space="preserve"> significant differences among herbicide treatments (p &lt; 0.05) (</w:t>
      </w:r>
      <w:r w:rsidR="00B3074D" w:rsidRPr="002F4D3B">
        <w:rPr>
          <w:rFonts w:ascii="Times New Roman" w:hAnsi="Times New Roman" w:cs="Times New Roman"/>
          <w:color w:val="000000" w:themeColor="text1"/>
          <w:highlight w:val="yellow"/>
        </w:rPr>
        <w:t>T</w:t>
      </w:r>
      <w:r w:rsidR="00B3074D" w:rsidRPr="002F4D3B">
        <w:rPr>
          <w:rFonts w:ascii="Times New Roman" w:hAnsi="Times New Roman" w:cs="Times New Roman"/>
          <w:color w:val="000000" w:themeColor="text1"/>
          <w:highlight w:val="yellow"/>
          <w:shd w:val="clear" w:color="auto" w:fill="FFFFFF"/>
        </w:rPr>
        <w:t>able 4, and Supplementary Tables 3a and 3b</w:t>
      </w:r>
      <w:r w:rsidR="00B3074D" w:rsidRPr="00B3074D">
        <w:rPr>
          <w:rFonts w:ascii="Times New Roman" w:hAnsi="Times New Roman" w:cs="Times New Roman"/>
          <w:color w:val="000000" w:themeColor="text1"/>
          <w:shd w:val="clear" w:color="auto" w:fill="FFFFFF"/>
        </w:rPr>
        <w:t xml:space="preserve">). </w:t>
      </w:r>
      <w:r w:rsidR="00B3074D" w:rsidRPr="00B3074D">
        <w:rPr>
          <w:rFonts w:ascii="Times New Roman" w:hAnsi="Times New Roman" w:cs="Times New Roman"/>
          <w:color w:val="000000" w:themeColor="text1"/>
        </w:rPr>
        <w:t xml:space="preserve">Significant pairwise comparisons </w:t>
      </w:r>
      <w:r>
        <w:rPr>
          <w:rFonts w:ascii="Times New Roman" w:hAnsi="Times New Roman" w:cs="Times New Roman"/>
          <w:color w:val="000000" w:themeColor="text1"/>
        </w:rPr>
        <w:t xml:space="preserve">at </w:t>
      </w:r>
      <w:r w:rsidR="002F4D3B">
        <w:rPr>
          <w:rFonts w:ascii="Times New Roman" w:hAnsi="Times New Roman" w:cs="Times New Roman"/>
          <w:color w:val="000000" w:themeColor="text1"/>
        </w:rPr>
        <w:t xml:space="preserve">the pre-treatment </w:t>
      </w:r>
      <w:r>
        <w:rPr>
          <w:rFonts w:ascii="Times New Roman" w:hAnsi="Times New Roman" w:cs="Times New Roman"/>
          <w:color w:val="000000" w:themeColor="text1"/>
        </w:rPr>
        <w:t xml:space="preserve">sampling </w:t>
      </w:r>
      <w:r w:rsidR="00B3074D" w:rsidRPr="00B3074D">
        <w:rPr>
          <w:rFonts w:ascii="Times New Roman" w:hAnsi="Times New Roman" w:cs="Times New Roman"/>
          <w:color w:val="000000" w:themeColor="text1"/>
        </w:rPr>
        <w:t xml:space="preserve">were limited to PHOS activity and the ratio of N:P cycling enzymes, with the nontreated plots having higher initial PHOS activity as compared to the handweeded plots, and lower N:P ratio as compared to the handweeded and </w:t>
      </w:r>
      <w:proofErr w:type="spellStart"/>
      <w:r w:rsidR="00B3074D" w:rsidRPr="00B3074D">
        <w:rPr>
          <w:rFonts w:ascii="Times New Roman" w:hAnsi="Times New Roman" w:cs="Times New Roman"/>
          <w:color w:val="000000" w:themeColor="text1"/>
        </w:rPr>
        <w:t>Aatrex</w:t>
      </w:r>
      <w:proofErr w:type="spellEnd"/>
      <w:r w:rsidR="00B3074D" w:rsidRPr="00B3074D">
        <w:rPr>
          <w:rFonts w:ascii="Times New Roman" w:hAnsi="Times New Roman" w:cs="Times New Roman"/>
          <w:color w:val="000000" w:themeColor="text1"/>
        </w:rPr>
        <w:t xml:space="preserve"> treated plots. While not statistically significant, this trend flipped at sampling time two and three with handweeded plots exhibiting the highest mean PHOS activity across all treatment types. Likewise, the activity of BG spiked at time two in the handweeded plots compared to the other treatments</w:t>
      </w:r>
      <w:r w:rsidR="002F4D3B">
        <w:rPr>
          <w:rFonts w:ascii="Times New Roman" w:hAnsi="Times New Roman" w:cs="Times New Roman"/>
          <w:color w:val="000000" w:themeColor="text1"/>
        </w:rPr>
        <w:t>, with a similar, though non-significant trend being observed for the Roundup treated plots (Figure 1)</w:t>
      </w:r>
      <w:r w:rsidR="00B3074D" w:rsidRPr="00B3074D">
        <w:rPr>
          <w:rFonts w:ascii="Times New Roman" w:hAnsi="Times New Roman" w:cs="Times New Roman"/>
          <w:color w:val="000000" w:themeColor="text1"/>
        </w:rPr>
        <w:t xml:space="preserve">. While herbicide treatment was not a significant predictor of activity for many enzymes, total weedy vegetation was a significant predictor for BX, AG, and PHOS at time one, and for BG, LAP, and the ratio of C:P cycling enzymes at sampling time two. In all cases, </w:t>
      </w:r>
      <w:r w:rsidR="00B3074D" w:rsidRPr="00B3074D">
        <w:rPr>
          <w:rFonts w:ascii="Times New Roman" w:hAnsi="Times New Roman" w:cs="Times New Roman"/>
          <w:color w:val="000000" w:themeColor="text1"/>
        </w:rPr>
        <w:sym w:font="Symbol" w:char="F062"/>
      </w:r>
      <w:r w:rsidR="002F4D3B">
        <w:rPr>
          <w:rFonts w:ascii="Times New Roman" w:hAnsi="Times New Roman" w:cs="Times New Roman"/>
          <w:color w:val="000000" w:themeColor="text1"/>
        </w:rPr>
        <w:t>-</w:t>
      </w:r>
      <w:r w:rsidR="00B3074D" w:rsidRPr="00B3074D">
        <w:rPr>
          <w:rFonts w:ascii="Times New Roman" w:hAnsi="Times New Roman" w:cs="Times New Roman"/>
          <w:color w:val="000000" w:themeColor="text1"/>
        </w:rPr>
        <w:t xml:space="preserve"> coefficients of the regressions were positive indicating that total weedy vegetation had a positive effect on enzyme activity.   </w:t>
      </w:r>
    </w:p>
    <w:p w14:paraId="00E9D950" w14:textId="5800F2E6"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t xml:space="preserve">When the examining the effect of time within in a single weed removal treatment, significant differences in enzyme activities over the </w:t>
      </w:r>
      <w:r w:rsidR="002F4D3B">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sampling period</w:t>
      </w:r>
      <w:r w:rsidR="00224EAF">
        <w:rPr>
          <w:rFonts w:ascii="Times New Roman" w:hAnsi="Times New Roman" w:cs="Times New Roman"/>
          <w:color w:val="000000" w:themeColor="text1"/>
          <w:shd w:val="clear" w:color="auto" w:fill="FFFFFF"/>
        </w:rPr>
        <w:t xml:space="preserve"> were limited to the handweeded and </w:t>
      </w:r>
      <w:proofErr w:type="spellStart"/>
      <w:r w:rsidR="00224EAF">
        <w:rPr>
          <w:rFonts w:ascii="Times New Roman" w:hAnsi="Times New Roman" w:cs="Times New Roman"/>
          <w:color w:val="000000" w:themeColor="text1"/>
          <w:shd w:val="clear" w:color="auto" w:fill="FFFFFF"/>
        </w:rPr>
        <w:t>RoundUp</w:t>
      </w:r>
      <w:proofErr w:type="spellEnd"/>
      <w:r w:rsidR="00224EAF">
        <w:rPr>
          <w:rFonts w:ascii="Times New Roman" w:hAnsi="Times New Roman" w:cs="Times New Roman"/>
          <w:color w:val="000000" w:themeColor="text1"/>
          <w:shd w:val="clear" w:color="auto" w:fill="FFFFFF"/>
        </w:rPr>
        <w:t xml:space="preserve"> treated plots</w:t>
      </w:r>
      <w:r w:rsidRPr="00B3074D">
        <w:rPr>
          <w:rFonts w:ascii="Times New Roman" w:hAnsi="Times New Roman" w:cs="Times New Roman"/>
          <w:color w:val="000000" w:themeColor="text1"/>
          <w:shd w:val="clear" w:color="auto" w:fill="FFFFFF"/>
        </w:rPr>
        <w:t xml:space="preserve">. The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Clarity, and nontreated plots showed no significant differences in individual enzyme activities or overall enzymatic profiles over time (p &gt; 0.05). Only the handweeded plots showed a significant difference in total enzymatic profile over the </w:t>
      </w:r>
      <w:r w:rsidR="002F4D3B">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sampling period (p &lt; 0.01, F</w:t>
      </w:r>
      <w:r w:rsidRPr="00B3074D">
        <w:rPr>
          <w:rFonts w:ascii="Times New Roman" w:hAnsi="Times New Roman" w:cs="Times New Roman"/>
          <w:color w:val="000000" w:themeColor="text1"/>
          <w:shd w:val="clear" w:color="auto" w:fill="FFFFFF"/>
          <w:vertAlign w:val="subscript"/>
        </w:rPr>
        <w:t>2,11</w:t>
      </w:r>
      <w:r w:rsidRPr="00B3074D">
        <w:rPr>
          <w:rFonts w:ascii="Times New Roman" w:hAnsi="Times New Roman" w:cs="Times New Roman"/>
          <w:color w:val="000000" w:themeColor="text1"/>
          <w:shd w:val="clear" w:color="auto" w:fill="FFFFFF"/>
        </w:rPr>
        <w:t xml:space="preserve"> = 6.88,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0.607). Pairwise comparisons revealed time one to be significantly different from time two (p &lt; 0.05) and marginally significant from time three (p = 0.055). Phosphatase activity was the most variable of the </w:t>
      </w:r>
      <w:r w:rsidRPr="00B3074D">
        <w:rPr>
          <w:rFonts w:ascii="Times New Roman" w:hAnsi="Times New Roman" w:cs="Times New Roman"/>
          <w:color w:val="000000" w:themeColor="text1"/>
          <w:shd w:val="clear" w:color="auto" w:fill="FFFFFF"/>
        </w:rPr>
        <w:lastRenderedPageBreak/>
        <w:t xml:space="preserve">measured enzyme activities over time, showing a statistically significant increase in activity at </w:t>
      </w:r>
      <w:r w:rsidR="002F4D3B">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after treatment followed by a reduction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after treatment for both the handweeded and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plots (p &lt; 0.05). No correlation was found between phosphate ion concentration and PHOS activity when considering all plots (p &gt; 0.9, r = 0.011). In addition to PHOS activity, both the handweeded and Roundup treated plots had similar trends over time for BG, AG, BX, and the ratio of C:N cycling enzymes, with the lowest activity at time one, the highest at time two and a return to pretreatment levels at sampling time three (Figure </w:t>
      </w:r>
      <w:r w:rsidR="00224EAF">
        <w:rPr>
          <w:rFonts w:ascii="Times New Roman" w:hAnsi="Times New Roman" w:cs="Times New Roman"/>
          <w:color w:val="000000" w:themeColor="text1"/>
          <w:shd w:val="clear" w:color="auto" w:fill="FFFFFF"/>
        </w:rPr>
        <w:t>1</w:t>
      </w:r>
      <w:r w:rsidRPr="00B3074D">
        <w:rPr>
          <w:rFonts w:ascii="Times New Roman" w:hAnsi="Times New Roman" w:cs="Times New Roman"/>
          <w:color w:val="000000" w:themeColor="text1"/>
          <w:shd w:val="clear" w:color="auto" w:fill="FFFFFF"/>
        </w:rPr>
        <w:t>). However, this was only statistically significant for the handweeded plots (p &lt; 0.05) (</w:t>
      </w:r>
      <w:r w:rsidRPr="002F4D3B">
        <w:rPr>
          <w:rFonts w:ascii="Times New Roman" w:hAnsi="Times New Roman" w:cs="Times New Roman"/>
          <w:color w:val="000000" w:themeColor="text1"/>
          <w:highlight w:val="yellow"/>
          <w:shd w:val="clear" w:color="auto" w:fill="FFFFFF"/>
        </w:rPr>
        <w:t>Table 5 and Supplementary Tables 4a and 4b</w:t>
      </w:r>
      <w:r w:rsidRPr="00B3074D">
        <w:rPr>
          <w:rFonts w:ascii="Times New Roman" w:hAnsi="Times New Roman" w:cs="Times New Roman"/>
          <w:color w:val="000000" w:themeColor="text1"/>
          <w:shd w:val="clear" w:color="auto" w:fill="FFFFFF"/>
        </w:rPr>
        <w:t>).</w:t>
      </w:r>
    </w:p>
    <w:p w14:paraId="2642943A" w14:textId="14F0F51C"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Our conservative linear mixed models of the entire dataset revealed enzyme specific results with respect to the significance of weed removal treatment, initial enzyme activity, total weedy vegetation, and the interaction of time and weed removal treatment. BG, </w:t>
      </w:r>
      <w:proofErr w:type="gramStart"/>
      <w:r w:rsidRPr="00B3074D">
        <w:rPr>
          <w:rFonts w:ascii="Times New Roman" w:hAnsi="Times New Roman" w:cs="Times New Roman"/>
          <w:color w:val="000000" w:themeColor="text1"/>
          <w:shd w:val="clear" w:color="auto" w:fill="FFFFFF"/>
        </w:rPr>
        <w:t>LAP</w:t>
      </w:r>
      <w:proofErr w:type="gramEnd"/>
      <w:r w:rsidRPr="00B3074D">
        <w:rPr>
          <w:rFonts w:ascii="Times New Roman" w:hAnsi="Times New Roman" w:cs="Times New Roman"/>
          <w:color w:val="000000" w:themeColor="text1"/>
          <w:shd w:val="clear" w:color="auto" w:fill="FFFFFF"/>
        </w:rPr>
        <w:t xml:space="preserve"> and the ratio of C:P cycling enzymes were predicted by total weedy vegetation (p &lt; 0.05). </w:t>
      </w:r>
      <w:r w:rsidR="002F4D3B">
        <w:rPr>
          <w:rFonts w:ascii="Times New Roman" w:hAnsi="Times New Roman" w:cs="Times New Roman"/>
          <w:color w:val="000000" w:themeColor="text1"/>
          <w:shd w:val="clear" w:color="auto" w:fill="FFFFFF"/>
        </w:rPr>
        <w:t>P</w:t>
      </w:r>
      <w:r w:rsidRPr="00B3074D">
        <w:rPr>
          <w:rFonts w:ascii="Times New Roman" w:hAnsi="Times New Roman" w:cs="Times New Roman"/>
          <w:color w:val="000000" w:themeColor="text1"/>
          <w:shd w:val="clear" w:color="auto" w:fill="FFFFFF"/>
        </w:rPr>
        <w:t xml:space="preserve">ositive </w:t>
      </w:r>
      <w:r w:rsidRPr="00B3074D">
        <w:rPr>
          <w:rFonts w:ascii="Times New Roman" w:hAnsi="Times New Roman" w:cs="Times New Roman"/>
          <w:color w:val="000000" w:themeColor="text1"/>
          <w:shd w:val="clear" w:color="auto" w:fill="FFFFFF"/>
        </w:rPr>
        <w:sym w:font="Symbol" w:char="F062"/>
      </w:r>
      <w:r w:rsidRPr="00B3074D">
        <w:rPr>
          <w:rFonts w:ascii="Times New Roman" w:hAnsi="Times New Roman" w:cs="Times New Roman"/>
          <w:color w:val="000000" w:themeColor="text1"/>
          <w:shd w:val="clear" w:color="auto" w:fill="FFFFFF"/>
        </w:rPr>
        <w:t>-coefficients for weedy vegetation cover</w:t>
      </w:r>
      <w:r w:rsidR="002F4D3B">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indicat</w:t>
      </w:r>
      <w:r w:rsidR="002F4D3B">
        <w:rPr>
          <w:rFonts w:ascii="Times New Roman" w:hAnsi="Times New Roman" w:cs="Times New Roman"/>
          <w:color w:val="000000" w:themeColor="text1"/>
          <w:shd w:val="clear" w:color="auto" w:fill="FFFFFF"/>
        </w:rPr>
        <w:t>e</w:t>
      </w:r>
      <w:r w:rsidRPr="00B3074D">
        <w:rPr>
          <w:rFonts w:ascii="Times New Roman" w:hAnsi="Times New Roman" w:cs="Times New Roman"/>
          <w:color w:val="000000" w:themeColor="text1"/>
          <w:shd w:val="clear" w:color="auto" w:fill="FFFFFF"/>
        </w:rPr>
        <w:t xml:space="preserve"> that higher weed cover led to higher enzyme activity. Both BG and LAP were also predicted by the interaction of treatment and time (p &lt; 0.05), though this was only marginally significant for BG (p = 0.055). PHOS activity at time one was deemed a significant predictor of PHOS activity at time two and three (p &lt; 0.05). Both herbicide treatment (p = 0.057) and the treatment by time interaction (p = 0.052) were marginally significant for predicting PHOS activity as well. All other mixed models for enzyme activity produced no significant predictors (</w:t>
      </w:r>
      <w:r w:rsidRPr="002F4D3B">
        <w:rPr>
          <w:rFonts w:ascii="Times New Roman" w:hAnsi="Times New Roman" w:cs="Times New Roman"/>
          <w:color w:val="000000" w:themeColor="text1"/>
          <w:highlight w:val="yellow"/>
          <w:shd w:val="clear" w:color="auto" w:fill="FFFFFF"/>
        </w:rPr>
        <w:t>Supplementary Table 5</w:t>
      </w:r>
      <w:r w:rsidRPr="00B3074D">
        <w:rPr>
          <w:rFonts w:ascii="Times New Roman" w:hAnsi="Times New Roman" w:cs="Times New Roman"/>
          <w:color w:val="000000" w:themeColor="text1"/>
          <w:shd w:val="clear" w:color="auto" w:fill="FFFFFF"/>
        </w:rPr>
        <w:t>).</w:t>
      </w:r>
    </w:p>
    <w:p w14:paraId="633D3775" w14:textId="77777777"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Finally, mantel testing of edaphic conditions and enzymatic activities showed that distance matrices of nutrient availability and total enzymatic profile were not correlated (p &gt; 0.75, r = -0.037). </w:t>
      </w:r>
    </w:p>
    <w:p w14:paraId="477667DB" w14:textId="2E01F8A2" w:rsidR="0053582D" w:rsidRDefault="0053582D" w:rsidP="0053582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lastRenderedPageBreak/>
        <w:t>Bacteria</w:t>
      </w:r>
      <w:r w:rsidR="002F4D3B">
        <w:rPr>
          <w:rFonts w:ascii="Times New Roman" w:hAnsi="Times New Roman" w:cs="Times New Roman"/>
          <w:i/>
          <w:iCs/>
          <w:color w:val="000000" w:themeColor="text1"/>
          <w:shd w:val="clear" w:color="auto" w:fill="FFFFFF"/>
        </w:rPr>
        <w:t>l diversity</w:t>
      </w:r>
    </w:p>
    <w:p w14:paraId="558724E7" w14:textId="77777777" w:rsidR="004D203E" w:rsidRDefault="00F13E52" w:rsidP="0053582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Bacterial count tables were rarefied to 3,000 reads per sample</w:t>
      </w:r>
      <w:r w:rsidR="004D203E">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004D203E">
        <w:rPr>
          <w:rFonts w:ascii="Times New Roman" w:hAnsi="Times New Roman" w:cs="Times New Roman"/>
          <w:color w:val="000000" w:themeColor="text1"/>
          <w:shd w:val="clear" w:color="auto" w:fill="FFFFFF"/>
        </w:rPr>
        <w:t>A</w:t>
      </w:r>
      <w:r w:rsidR="004D203E">
        <w:rPr>
          <w:rFonts w:ascii="Times New Roman" w:hAnsi="Times New Roman" w:cs="Times New Roman"/>
          <w:color w:val="000000" w:themeColor="text1"/>
          <w:shd w:val="clear" w:color="auto" w:fill="FFFFFF"/>
        </w:rPr>
        <w:t>fter outlier removal</w:t>
      </w:r>
      <w:r w:rsidR="004D203E">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16</w:t>
      </w:r>
      <w:r w:rsidR="0089710C">
        <w:rPr>
          <w:rFonts w:ascii="Times New Roman" w:hAnsi="Times New Roman" w:cs="Times New Roman"/>
          <w:color w:val="000000" w:themeColor="text1"/>
          <w:shd w:val="clear" w:color="auto" w:fill="FFFFFF"/>
        </w:rPr>
        <w:t>4</w:t>
      </w:r>
      <w:r>
        <w:rPr>
          <w:rFonts w:ascii="Times New Roman" w:hAnsi="Times New Roman" w:cs="Times New Roman"/>
          <w:color w:val="000000" w:themeColor="text1"/>
          <w:shd w:val="clear" w:color="auto" w:fill="FFFFFF"/>
        </w:rPr>
        <w:t xml:space="preserve"> independent samples </w:t>
      </w:r>
      <w:r w:rsidR="004D203E">
        <w:rPr>
          <w:rFonts w:ascii="Times New Roman" w:hAnsi="Times New Roman" w:cs="Times New Roman"/>
          <w:color w:val="000000" w:themeColor="text1"/>
          <w:shd w:val="clear" w:color="auto" w:fill="FFFFFF"/>
        </w:rPr>
        <w:t>were</w:t>
      </w:r>
      <w:r>
        <w:rPr>
          <w:rFonts w:ascii="Times New Roman" w:hAnsi="Times New Roman" w:cs="Times New Roman"/>
          <w:color w:val="000000" w:themeColor="text1"/>
          <w:shd w:val="clear" w:color="auto" w:fill="FFFFFF"/>
        </w:rPr>
        <w:t xml:space="preserve"> included in downstream analysis</w:t>
      </w:r>
      <w:r w:rsidR="004D203E">
        <w:rPr>
          <w:rFonts w:ascii="Times New Roman" w:hAnsi="Times New Roman" w:cs="Times New Roman"/>
          <w:color w:val="000000" w:themeColor="text1"/>
          <w:shd w:val="clear" w:color="auto" w:fill="FFFFFF"/>
        </w:rPr>
        <w:t>. R</w:t>
      </w:r>
      <w:r w:rsidR="002F4D3B" w:rsidRPr="002F4D3B">
        <w:rPr>
          <w:rFonts w:ascii="Times New Roman" w:hAnsi="Times New Roman" w:cs="Times New Roman"/>
          <w:color w:val="000000" w:themeColor="text1"/>
          <w:shd w:val="clear" w:color="auto" w:fill="FFFFFF"/>
        </w:rPr>
        <w:t xml:space="preserve">arefied results </w:t>
      </w:r>
      <w:r w:rsidR="004D203E">
        <w:rPr>
          <w:rFonts w:ascii="Times New Roman" w:hAnsi="Times New Roman" w:cs="Times New Roman"/>
          <w:color w:val="000000" w:themeColor="text1"/>
          <w:shd w:val="clear" w:color="auto" w:fill="FFFFFF"/>
        </w:rPr>
        <w:t xml:space="preserve">are </w:t>
      </w:r>
      <w:r w:rsidR="002F4D3B" w:rsidRPr="002F4D3B">
        <w:rPr>
          <w:rFonts w:ascii="Times New Roman" w:hAnsi="Times New Roman" w:cs="Times New Roman"/>
          <w:color w:val="000000" w:themeColor="text1"/>
          <w:shd w:val="clear" w:color="auto" w:fill="FFFFFF"/>
        </w:rPr>
        <w:t>reported unless otherwise noted.</w:t>
      </w:r>
      <w:r>
        <w:rPr>
          <w:rFonts w:ascii="Times New Roman" w:hAnsi="Times New Roman" w:cs="Times New Roman"/>
          <w:color w:val="000000" w:themeColor="text1"/>
          <w:shd w:val="clear" w:color="auto" w:fill="FFFFFF"/>
        </w:rPr>
        <w:t xml:space="preserve"> No differences in bacterial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-diversity (Shannon, richness, or Chao1) were found between the treatment types at any of the sampling times (p &gt; 0.26). </w:t>
      </w:r>
      <w:r w:rsidR="00CD39E7">
        <w:rPr>
          <w:rFonts w:ascii="Times New Roman" w:hAnsi="Times New Roman" w:cs="Times New Roman"/>
          <w:color w:val="000000" w:themeColor="text1"/>
          <w:shd w:val="clear" w:color="auto" w:fill="FFFFFF"/>
        </w:rPr>
        <w:t xml:space="preserve">PERMANOVA testing of the rarefied and DMN taxon tables revealed a significant effect of </w:t>
      </w:r>
      <w:r w:rsidR="0089710C">
        <w:rPr>
          <w:rFonts w:ascii="Times New Roman" w:hAnsi="Times New Roman" w:cs="Times New Roman"/>
          <w:color w:val="000000" w:themeColor="text1"/>
          <w:shd w:val="clear" w:color="auto" w:fill="FFFFFF"/>
        </w:rPr>
        <w:t>weed removal</w:t>
      </w:r>
      <w:r w:rsidR="00CD39E7">
        <w:rPr>
          <w:rFonts w:ascii="Times New Roman" w:hAnsi="Times New Roman" w:cs="Times New Roman"/>
          <w:color w:val="000000" w:themeColor="text1"/>
          <w:shd w:val="clear" w:color="auto" w:fill="FFFFFF"/>
        </w:rPr>
        <w:t xml:space="preserve"> treatment (p &lt; 0.0</w:t>
      </w:r>
      <w:r w:rsidR="00B146B2">
        <w:rPr>
          <w:rFonts w:ascii="Times New Roman" w:hAnsi="Times New Roman" w:cs="Times New Roman"/>
          <w:color w:val="000000" w:themeColor="text1"/>
          <w:shd w:val="clear" w:color="auto" w:fill="FFFFFF"/>
        </w:rPr>
        <w:t>5</w:t>
      </w:r>
      <w:r w:rsidR="00CD39E7">
        <w:rPr>
          <w:rFonts w:ascii="Times New Roman" w:hAnsi="Times New Roman" w:cs="Times New Roman"/>
          <w:color w:val="000000" w:themeColor="text1"/>
          <w:shd w:val="clear" w:color="auto" w:fill="FFFFFF"/>
        </w:rPr>
        <w:t xml:space="preserve">, </w:t>
      </w:r>
      <w:r w:rsidR="00CD39E7" w:rsidRPr="00B3074D">
        <w:rPr>
          <w:rFonts w:ascii="Times New Roman" w:hAnsi="Times New Roman" w:cs="Times New Roman"/>
          <w:color w:val="000000" w:themeColor="text1"/>
          <w:shd w:val="clear" w:color="auto" w:fill="FFFFFF"/>
        </w:rPr>
        <w:t>F</w:t>
      </w:r>
      <w:r w:rsidR="00CD39E7">
        <w:rPr>
          <w:rFonts w:ascii="Times New Roman" w:hAnsi="Times New Roman" w:cs="Times New Roman"/>
          <w:color w:val="000000" w:themeColor="text1"/>
          <w:shd w:val="clear" w:color="auto" w:fill="FFFFFF"/>
          <w:vertAlign w:val="subscript"/>
        </w:rPr>
        <w:t>4</w:t>
      </w:r>
      <w:r w:rsidR="00CD39E7" w:rsidRPr="00B3074D">
        <w:rPr>
          <w:rFonts w:ascii="Times New Roman" w:hAnsi="Times New Roman" w:cs="Times New Roman"/>
          <w:color w:val="000000" w:themeColor="text1"/>
          <w:shd w:val="clear" w:color="auto" w:fill="FFFFFF"/>
          <w:vertAlign w:val="subscript"/>
        </w:rPr>
        <w:t>,</w:t>
      </w:r>
      <w:r w:rsidR="00CD39E7">
        <w:rPr>
          <w:rFonts w:ascii="Times New Roman" w:hAnsi="Times New Roman" w:cs="Times New Roman"/>
          <w:color w:val="000000" w:themeColor="text1"/>
          <w:shd w:val="clear" w:color="auto" w:fill="FFFFFF"/>
          <w:vertAlign w:val="subscript"/>
        </w:rPr>
        <w:t>1</w:t>
      </w:r>
      <w:r w:rsidR="00455E94">
        <w:rPr>
          <w:rFonts w:ascii="Times New Roman" w:hAnsi="Times New Roman" w:cs="Times New Roman"/>
          <w:color w:val="000000" w:themeColor="text1"/>
          <w:shd w:val="clear" w:color="auto" w:fill="FFFFFF"/>
          <w:vertAlign w:val="subscript"/>
        </w:rPr>
        <w:t>47</w:t>
      </w:r>
      <w:r w:rsidR="00CD39E7" w:rsidRPr="00B3074D">
        <w:rPr>
          <w:rFonts w:ascii="Times New Roman" w:hAnsi="Times New Roman" w:cs="Times New Roman"/>
          <w:color w:val="000000" w:themeColor="text1"/>
          <w:shd w:val="clear" w:color="auto" w:fill="FFFFFF"/>
        </w:rPr>
        <w:t xml:space="preserve"> </w:t>
      </w:r>
      <w:r w:rsidR="00455E94">
        <w:rPr>
          <w:rFonts w:ascii="Times New Roman" w:hAnsi="Times New Roman" w:cs="Times New Roman"/>
          <w:color w:val="000000" w:themeColor="text1"/>
          <w:shd w:val="clear" w:color="auto" w:fill="FFFFFF"/>
        </w:rPr>
        <w:t>=</w:t>
      </w:r>
      <w:r w:rsidR="00CD39E7">
        <w:rPr>
          <w:rFonts w:ascii="Times New Roman" w:hAnsi="Times New Roman" w:cs="Times New Roman"/>
          <w:color w:val="000000" w:themeColor="text1"/>
          <w:shd w:val="clear" w:color="auto" w:fill="FFFFFF"/>
        </w:rPr>
        <w:t xml:space="preserve"> </w:t>
      </w:r>
      <w:r w:rsidR="00CD39E7" w:rsidRPr="002F4D3B">
        <w:rPr>
          <w:rFonts w:ascii="Times New Roman" w:hAnsi="Times New Roman" w:cs="Times New Roman"/>
          <w:color w:val="000000" w:themeColor="text1"/>
          <w:shd w:val="clear" w:color="auto" w:fill="FFFFFF"/>
        </w:rPr>
        <w:t>1.10</w:t>
      </w:r>
      <w:r w:rsidR="00455E94" w:rsidRPr="002F4D3B">
        <w:rPr>
          <w:rFonts w:ascii="Times New Roman" w:hAnsi="Times New Roman" w:cs="Times New Roman"/>
          <w:color w:val="000000" w:themeColor="text1"/>
          <w:shd w:val="clear" w:color="auto" w:fill="FFFFFF"/>
        </w:rPr>
        <w:t>1</w:t>
      </w:r>
      <w:r w:rsidR="00CD39E7" w:rsidRPr="002F4D3B">
        <w:rPr>
          <w:rFonts w:ascii="Times New Roman" w:hAnsi="Times New Roman" w:cs="Times New Roman"/>
          <w:color w:val="000000" w:themeColor="text1"/>
          <w:shd w:val="clear" w:color="auto" w:fill="FFFFFF"/>
        </w:rPr>
        <w:t>, R</w:t>
      </w:r>
      <w:r w:rsidR="00CD39E7" w:rsidRPr="002F4D3B">
        <w:rPr>
          <w:rFonts w:ascii="Times New Roman" w:hAnsi="Times New Roman" w:cs="Times New Roman"/>
          <w:color w:val="000000" w:themeColor="text1"/>
          <w:shd w:val="clear" w:color="auto" w:fill="FFFFFF"/>
          <w:vertAlign w:val="superscript"/>
        </w:rPr>
        <w:t>2</w:t>
      </w:r>
      <w:r w:rsidR="00CD39E7" w:rsidRPr="002F4D3B">
        <w:rPr>
          <w:rFonts w:ascii="Times New Roman" w:hAnsi="Times New Roman" w:cs="Times New Roman"/>
          <w:color w:val="000000" w:themeColor="text1"/>
          <w:shd w:val="clear" w:color="auto" w:fill="FFFFFF"/>
        </w:rPr>
        <w:t xml:space="preserve"> </w:t>
      </w:r>
      <w:r w:rsidR="00455E94" w:rsidRPr="002F4D3B">
        <w:rPr>
          <w:rFonts w:ascii="Times New Roman" w:hAnsi="Times New Roman" w:cs="Times New Roman"/>
          <w:color w:val="000000" w:themeColor="text1"/>
          <w:shd w:val="clear" w:color="auto" w:fill="FFFFFF"/>
        </w:rPr>
        <w:t>=</w:t>
      </w:r>
      <w:r w:rsidR="00CD39E7" w:rsidRPr="002F4D3B">
        <w:rPr>
          <w:rFonts w:ascii="Times New Roman" w:hAnsi="Times New Roman" w:cs="Times New Roman"/>
          <w:color w:val="000000" w:themeColor="text1"/>
          <w:shd w:val="clear" w:color="auto" w:fill="FFFFFF"/>
        </w:rPr>
        <w:t xml:space="preserve"> 0.0</w:t>
      </w:r>
      <w:r w:rsidR="00455E94" w:rsidRPr="002F4D3B">
        <w:rPr>
          <w:rFonts w:ascii="Times New Roman" w:hAnsi="Times New Roman" w:cs="Times New Roman"/>
          <w:color w:val="000000" w:themeColor="text1"/>
          <w:shd w:val="clear" w:color="auto" w:fill="FFFFFF"/>
        </w:rPr>
        <w:t>268</w:t>
      </w:r>
      <w:r w:rsidR="00CD39E7" w:rsidRPr="002F4D3B">
        <w:rPr>
          <w:rFonts w:ascii="Times New Roman" w:hAnsi="Times New Roman" w:cs="Times New Roman"/>
          <w:color w:val="000000" w:themeColor="text1"/>
          <w:shd w:val="clear" w:color="auto" w:fill="FFFFFF"/>
        </w:rPr>
        <w:t>)</w:t>
      </w:r>
      <w:r w:rsidR="00B146B2" w:rsidRPr="002F4D3B">
        <w:rPr>
          <w:rFonts w:ascii="Times New Roman" w:hAnsi="Times New Roman" w:cs="Times New Roman"/>
          <w:color w:val="000000" w:themeColor="text1"/>
          <w:shd w:val="clear" w:color="auto" w:fill="FFFFFF"/>
        </w:rPr>
        <w:t xml:space="preserve">, and a significant effect of the interaction of </w:t>
      </w:r>
      <w:r w:rsidR="002F4D3B">
        <w:rPr>
          <w:rFonts w:ascii="Times New Roman" w:hAnsi="Times New Roman" w:cs="Times New Roman"/>
          <w:color w:val="000000" w:themeColor="text1"/>
          <w:shd w:val="clear" w:color="auto" w:fill="FFFFFF"/>
        </w:rPr>
        <w:t xml:space="preserve">weed removal </w:t>
      </w:r>
      <w:r w:rsidR="0089710C" w:rsidRPr="002F4D3B">
        <w:rPr>
          <w:rFonts w:ascii="Times New Roman" w:hAnsi="Times New Roman" w:cs="Times New Roman"/>
          <w:color w:val="000000" w:themeColor="text1"/>
          <w:shd w:val="clear" w:color="auto" w:fill="FFFFFF"/>
        </w:rPr>
        <w:t>treatment</w:t>
      </w:r>
      <w:r w:rsidR="00B146B2" w:rsidRPr="002F4D3B">
        <w:rPr>
          <w:rFonts w:ascii="Times New Roman" w:hAnsi="Times New Roman" w:cs="Times New Roman"/>
          <w:color w:val="000000" w:themeColor="text1"/>
          <w:shd w:val="clear" w:color="auto" w:fill="FFFFFF"/>
        </w:rPr>
        <w:t>*time (p &lt; 0.0</w:t>
      </w:r>
      <w:r w:rsidR="00455E94" w:rsidRPr="002F4D3B">
        <w:rPr>
          <w:rFonts w:ascii="Times New Roman" w:hAnsi="Times New Roman" w:cs="Times New Roman"/>
          <w:color w:val="000000" w:themeColor="text1"/>
          <w:shd w:val="clear" w:color="auto" w:fill="FFFFFF"/>
        </w:rPr>
        <w:t>0</w:t>
      </w:r>
      <w:r w:rsidR="00B146B2" w:rsidRPr="002F4D3B">
        <w:rPr>
          <w:rFonts w:ascii="Times New Roman" w:hAnsi="Times New Roman" w:cs="Times New Roman"/>
          <w:color w:val="000000" w:themeColor="text1"/>
          <w:shd w:val="clear" w:color="auto" w:fill="FFFFFF"/>
        </w:rPr>
        <w:t>1, F</w:t>
      </w:r>
      <w:r w:rsidR="00B146B2" w:rsidRPr="002F4D3B">
        <w:rPr>
          <w:rFonts w:ascii="Times New Roman" w:hAnsi="Times New Roman" w:cs="Times New Roman"/>
          <w:color w:val="000000" w:themeColor="text1"/>
          <w:shd w:val="clear" w:color="auto" w:fill="FFFFFF"/>
          <w:vertAlign w:val="subscript"/>
        </w:rPr>
        <w:t>8,1</w:t>
      </w:r>
      <w:r w:rsidR="00455E94" w:rsidRPr="002F4D3B">
        <w:rPr>
          <w:rFonts w:ascii="Times New Roman" w:hAnsi="Times New Roman" w:cs="Times New Roman"/>
          <w:color w:val="000000" w:themeColor="text1"/>
          <w:shd w:val="clear" w:color="auto" w:fill="FFFFFF"/>
          <w:vertAlign w:val="subscript"/>
        </w:rPr>
        <w:t>47</w:t>
      </w:r>
      <w:r w:rsidR="00B146B2" w:rsidRPr="002F4D3B">
        <w:rPr>
          <w:rFonts w:ascii="Times New Roman" w:hAnsi="Times New Roman" w:cs="Times New Roman"/>
          <w:color w:val="000000" w:themeColor="text1"/>
          <w:shd w:val="clear" w:color="auto" w:fill="FFFFFF"/>
        </w:rPr>
        <w:t xml:space="preserve"> = </w:t>
      </w:r>
      <w:r w:rsidR="00455E94" w:rsidRPr="002F4D3B">
        <w:rPr>
          <w:rFonts w:ascii="Times New Roman" w:hAnsi="Times New Roman" w:cs="Times New Roman"/>
          <w:color w:val="000000" w:themeColor="text1"/>
          <w:shd w:val="clear" w:color="auto" w:fill="FFFFFF"/>
        </w:rPr>
        <w:t>1.189</w:t>
      </w:r>
      <w:r w:rsidR="00B146B2" w:rsidRPr="002F4D3B">
        <w:rPr>
          <w:rFonts w:ascii="Times New Roman" w:hAnsi="Times New Roman" w:cs="Times New Roman"/>
          <w:color w:val="000000" w:themeColor="text1"/>
          <w:shd w:val="clear" w:color="auto" w:fill="FFFFFF"/>
        </w:rPr>
        <w:t>, R</w:t>
      </w:r>
      <w:r w:rsidR="00B146B2" w:rsidRPr="002F4D3B">
        <w:rPr>
          <w:rFonts w:ascii="Times New Roman" w:hAnsi="Times New Roman" w:cs="Times New Roman"/>
          <w:color w:val="000000" w:themeColor="text1"/>
          <w:shd w:val="clear" w:color="auto" w:fill="FFFFFF"/>
          <w:vertAlign w:val="superscript"/>
        </w:rPr>
        <w:t>2</w:t>
      </w:r>
      <w:r w:rsidR="00B146B2" w:rsidRPr="002F4D3B">
        <w:rPr>
          <w:rFonts w:ascii="Times New Roman" w:hAnsi="Times New Roman" w:cs="Times New Roman"/>
          <w:color w:val="000000" w:themeColor="text1"/>
          <w:shd w:val="clear" w:color="auto" w:fill="FFFFFF"/>
        </w:rPr>
        <w:t xml:space="preserve"> = 0.</w:t>
      </w:r>
      <w:r w:rsidR="00455E94" w:rsidRPr="002F4D3B">
        <w:rPr>
          <w:rFonts w:ascii="Times New Roman" w:hAnsi="Times New Roman" w:cs="Times New Roman"/>
        </w:rPr>
        <w:t xml:space="preserve"> 0</w:t>
      </w:r>
      <w:r w:rsidR="00455E94" w:rsidRPr="002F4D3B">
        <w:rPr>
          <w:rFonts w:ascii="Times New Roman" w:hAnsi="Times New Roman" w:cs="Times New Roman"/>
          <w:color w:val="000000" w:themeColor="text1"/>
          <w:shd w:val="clear" w:color="auto" w:fill="FFFFFF"/>
        </w:rPr>
        <w:t>579</w:t>
      </w:r>
      <w:r w:rsidR="00B146B2" w:rsidRPr="002F4D3B">
        <w:rPr>
          <w:rFonts w:ascii="Times New Roman" w:hAnsi="Times New Roman" w:cs="Times New Roman"/>
          <w:color w:val="000000" w:themeColor="text1"/>
          <w:shd w:val="clear" w:color="auto" w:fill="FFFFFF"/>
        </w:rPr>
        <w:t>)</w:t>
      </w:r>
      <w:r w:rsidR="00021CFF" w:rsidRPr="002F4D3B">
        <w:rPr>
          <w:rFonts w:ascii="Times New Roman" w:hAnsi="Times New Roman" w:cs="Times New Roman"/>
          <w:color w:val="000000" w:themeColor="text1"/>
          <w:shd w:val="clear" w:color="auto" w:fill="FFFFFF"/>
        </w:rPr>
        <w:t xml:space="preserve"> (Figure 2</w:t>
      </w:r>
      <w:r w:rsidR="00CA3F7E" w:rsidRPr="002F4D3B">
        <w:rPr>
          <w:rFonts w:ascii="Times New Roman" w:hAnsi="Times New Roman" w:cs="Times New Roman"/>
          <w:color w:val="000000" w:themeColor="text1"/>
          <w:shd w:val="clear" w:color="auto" w:fill="FFFFFF"/>
        </w:rPr>
        <w:t>,</w:t>
      </w:r>
      <w:r w:rsidR="00021CFF" w:rsidRPr="002F4D3B">
        <w:rPr>
          <w:rFonts w:ascii="Times New Roman" w:hAnsi="Times New Roman" w:cs="Times New Roman"/>
          <w:color w:val="000000" w:themeColor="text1"/>
          <w:shd w:val="clear" w:color="auto" w:fill="FFFFFF"/>
        </w:rPr>
        <w:t xml:space="preserve"> </w:t>
      </w:r>
      <w:r w:rsidR="00CA3F7E" w:rsidRPr="002F4D3B">
        <w:rPr>
          <w:rFonts w:ascii="Times New Roman" w:hAnsi="Times New Roman" w:cs="Times New Roman"/>
          <w:color w:val="000000" w:themeColor="text1"/>
          <w:shd w:val="clear" w:color="auto" w:fill="FFFFFF"/>
        </w:rPr>
        <w:t>column 1</w:t>
      </w:r>
      <w:r w:rsidR="00021CFF" w:rsidRPr="002F4D3B">
        <w:rPr>
          <w:rFonts w:ascii="Times New Roman" w:hAnsi="Times New Roman" w:cs="Times New Roman"/>
          <w:color w:val="000000" w:themeColor="text1"/>
          <w:shd w:val="clear" w:color="auto" w:fill="FFFFFF"/>
        </w:rPr>
        <w:t>)</w:t>
      </w:r>
      <w:r w:rsidR="002F4D3B">
        <w:rPr>
          <w:rFonts w:ascii="Times New Roman" w:hAnsi="Times New Roman" w:cs="Times New Roman"/>
          <w:color w:val="000000" w:themeColor="text1"/>
          <w:shd w:val="clear" w:color="auto" w:fill="FFFFFF"/>
        </w:rPr>
        <w:t xml:space="preserve">. </w:t>
      </w:r>
      <w:r w:rsidR="00B146B2" w:rsidRPr="002F4D3B">
        <w:rPr>
          <w:rFonts w:ascii="Times New Roman" w:hAnsi="Times New Roman" w:cs="Times New Roman"/>
          <w:color w:val="000000" w:themeColor="text1"/>
          <w:shd w:val="clear" w:color="auto" w:fill="FFFFFF"/>
        </w:rPr>
        <w:t xml:space="preserve">The effect of </w:t>
      </w:r>
      <w:r w:rsidR="002F4D3B">
        <w:rPr>
          <w:rFonts w:ascii="Times New Roman" w:hAnsi="Times New Roman" w:cs="Times New Roman"/>
          <w:color w:val="000000" w:themeColor="text1"/>
          <w:shd w:val="clear" w:color="auto" w:fill="FFFFFF"/>
        </w:rPr>
        <w:t>sampling time</w:t>
      </w:r>
      <w:r w:rsidR="00B146B2" w:rsidRPr="002F4D3B">
        <w:rPr>
          <w:rFonts w:ascii="Times New Roman" w:hAnsi="Times New Roman" w:cs="Times New Roman"/>
          <w:color w:val="000000" w:themeColor="text1"/>
          <w:shd w:val="clear" w:color="auto" w:fill="FFFFFF"/>
        </w:rPr>
        <w:t xml:space="preserve"> on community dissimilarity was </w:t>
      </w:r>
      <w:r w:rsidR="002F4D3B">
        <w:rPr>
          <w:rFonts w:ascii="Times New Roman" w:hAnsi="Times New Roman" w:cs="Times New Roman"/>
          <w:color w:val="000000" w:themeColor="text1"/>
          <w:shd w:val="clear" w:color="auto" w:fill="FFFFFF"/>
        </w:rPr>
        <w:t>not</w:t>
      </w:r>
      <w:r w:rsidR="00B146B2" w:rsidRPr="002F4D3B">
        <w:rPr>
          <w:rFonts w:ascii="Times New Roman" w:hAnsi="Times New Roman" w:cs="Times New Roman"/>
          <w:color w:val="000000" w:themeColor="text1"/>
          <w:shd w:val="clear" w:color="auto" w:fill="FFFFFF"/>
        </w:rPr>
        <w:t xml:space="preserve"> significant for the rarefied taxon count tables</w:t>
      </w:r>
      <w:r w:rsidR="00B146B2">
        <w:rPr>
          <w:rFonts w:ascii="Times New Roman" w:hAnsi="Times New Roman" w:cs="Times New Roman"/>
          <w:color w:val="000000" w:themeColor="text1"/>
          <w:shd w:val="clear" w:color="auto" w:fill="FFFFFF"/>
        </w:rPr>
        <w:t xml:space="preserve"> (</w:t>
      </w:r>
      <w:r w:rsidR="00B146B2" w:rsidRPr="00B3074D">
        <w:rPr>
          <w:rFonts w:ascii="Times New Roman" w:hAnsi="Times New Roman" w:cs="Times New Roman"/>
          <w:color w:val="000000" w:themeColor="text1"/>
          <w:shd w:val="clear" w:color="auto" w:fill="FFFFFF"/>
        </w:rPr>
        <w:t xml:space="preserve">p </w:t>
      </w:r>
      <w:r w:rsidR="00455E94">
        <w:rPr>
          <w:rFonts w:ascii="Times New Roman" w:hAnsi="Times New Roman" w:cs="Times New Roman"/>
          <w:color w:val="000000" w:themeColor="text1"/>
          <w:shd w:val="clear" w:color="auto" w:fill="FFFFFF"/>
        </w:rPr>
        <w:t>=</w:t>
      </w:r>
      <w:r w:rsidR="00B146B2" w:rsidRPr="00B3074D">
        <w:rPr>
          <w:rFonts w:ascii="Times New Roman" w:hAnsi="Times New Roman" w:cs="Times New Roman"/>
          <w:color w:val="000000" w:themeColor="text1"/>
          <w:shd w:val="clear" w:color="auto" w:fill="FFFFFF"/>
        </w:rPr>
        <w:t xml:space="preserve"> 0.</w:t>
      </w:r>
      <w:r w:rsidR="00B146B2">
        <w:rPr>
          <w:rFonts w:ascii="Times New Roman" w:hAnsi="Times New Roman" w:cs="Times New Roman"/>
          <w:color w:val="000000" w:themeColor="text1"/>
          <w:shd w:val="clear" w:color="auto" w:fill="FFFFFF"/>
        </w:rPr>
        <w:t>1</w:t>
      </w:r>
      <w:r w:rsidR="00455E94">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B146B2">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vertAlign w:val="subscript"/>
        </w:rPr>
        <w:t>,1</w:t>
      </w:r>
      <w:r w:rsidR="00455E94">
        <w:rPr>
          <w:rFonts w:ascii="Times New Roman" w:hAnsi="Times New Roman" w:cs="Times New Roman"/>
          <w:color w:val="000000" w:themeColor="text1"/>
          <w:shd w:val="clear" w:color="auto" w:fill="FFFFFF"/>
          <w:vertAlign w:val="subscript"/>
        </w:rPr>
        <w:t>47</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1.094</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0.0133</w:t>
      </w:r>
      <w:r w:rsidR="00B146B2">
        <w:rPr>
          <w:rFonts w:ascii="Times New Roman" w:hAnsi="Times New Roman" w:cs="Times New Roman"/>
          <w:color w:val="000000" w:themeColor="text1"/>
          <w:shd w:val="clear" w:color="auto" w:fill="FFFFFF"/>
        </w:rPr>
        <w:t>)</w:t>
      </w:r>
      <w:r w:rsidR="002970C2">
        <w:rPr>
          <w:rFonts w:ascii="Times New Roman" w:hAnsi="Times New Roman" w:cs="Times New Roman"/>
          <w:color w:val="000000" w:themeColor="text1"/>
          <w:shd w:val="clear" w:color="auto" w:fill="FFFFFF"/>
        </w:rPr>
        <w:t xml:space="preserve"> but was </w:t>
      </w:r>
      <w:r w:rsidR="00B146B2">
        <w:rPr>
          <w:rFonts w:ascii="Times New Roman" w:hAnsi="Times New Roman" w:cs="Times New Roman"/>
          <w:color w:val="000000" w:themeColor="text1"/>
          <w:shd w:val="clear" w:color="auto" w:fill="FFFFFF"/>
        </w:rPr>
        <w:t>significant for the DMN table (</w:t>
      </w:r>
      <w:r w:rsidR="00B146B2" w:rsidRPr="00B3074D">
        <w:rPr>
          <w:rFonts w:ascii="Times New Roman" w:hAnsi="Times New Roman" w:cs="Times New Roman"/>
          <w:color w:val="000000" w:themeColor="text1"/>
          <w:shd w:val="clear" w:color="auto" w:fill="FFFFFF"/>
        </w:rPr>
        <w:t>p &lt; 0.0</w:t>
      </w:r>
      <w:r w:rsidR="006C539A">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6C539A">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vertAlign w:val="subscript"/>
        </w:rPr>
        <w:t>,1</w:t>
      </w:r>
      <w:r w:rsidR="006C539A">
        <w:rPr>
          <w:rFonts w:ascii="Times New Roman" w:hAnsi="Times New Roman" w:cs="Times New Roman"/>
          <w:color w:val="000000" w:themeColor="text1"/>
          <w:shd w:val="clear" w:color="auto" w:fill="FFFFFF"/>
          <w:vertAlign w:val="subscript"/>
        </w:rPr>
        <w:t>5</w:t>
      </w:r>
      <w:r w:rsidR="00455E94">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2.1183</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0.02247</w:t>
      </w:r>
      <w:r w:rsidR="00B146B2">
        <w:rPr>
          <w:rFonts w:ascii="Times New Roman" w:hAnsi="Times New Roman" w:cs="Times New Roman"/>
          <w:color w:val="000000" w:themeColor="text1"/>
          <w:shd w:val="clear" w:color="auto" w:fill="FFFFFF"/>
        </w:rPr>
        <w:t>).</w:t>
      </w:r>
      <w:r w:rsidR="00455E94">
        <w:rPr>
          <w:rFonts w:ascii="Times New Roman" w:hAnsi="Times New Roman" w:cs="Times New Roman"/>
          <w:color w:val="000000" w:themeColor="text1"/>
          <w:shd w:val="clear" w:color="auto" w:fill="FFFFFF"/>
        </w:rPr>
        <w:t xml:space="preserve"> Total weedy vegetation was not a significant predictor of bacterial dissimilarity for either of the </w:t>
      </w:r>
      <w:proofErr w:type="spellStart"/>
      <w:r w:rsidR="00455E94">
        <w:rPr>
          <w:rFonts w:ascii="Times New Roman" w:hAnsi="Times New Roman" w:cs="Times New Roman"/>
          <w:color w:val="000000" w:themeColor="text1"/>
          <w:shd w:val="clear" w:color="auto" w:fill="FFFFFF"/>
        </w:rPr>
        <w:t>taxon</w:t>
      </w:r>
      <w:proofErr w:type="spellEnd"/>
      <w:r w:rsidR="00455E94">
        <w:rPr>
          <w:rFonts w:ascii="Times New Roman" w:hAnsi="Times New Roman" w:cs="Times New Roman"/>
          <w:color w:val="000000" w:themeColor="text1"/>
          <w:shd w:val="clear" w:color="auto" w:fill="FFFFFF"/>
        </w:rPr>
        <w:t xml:space="preserve"> tables. </w:t>
      </w:r>
      <w:r w:rsidR="00923C61">
        <w:rPr>
          <w:rFonts w:ascii="Times New Roman" w:hAnsi="Times New Roman" w:cs="Times New Roman"/>
          <w:color w:val="000000" w:themeColor="text1"/>
          <w:shd w:val="clear" w:color="auto" w:fill="FFFFFF"/>
        </w:rPr>
        <w:t xml:space="preserve">Pairwise </w:t>
      </w:r>
      <w:r w:rsidR="002F4D3B">
        <w:rPr>
          <w:rFonts w:ascii="Times New Roman" w:hAnsi="Times New Roman" w:cs="Times New Roman"/>
          <w:color w:val="000000" w:themeColor="text1"/>
          <w:shd w:val="clear" w:color="auto" w:fill="FFFFFF"/>
        </w:rPr>
        <w:t>PERMANOVA testing</w:t>
      </w:r>
      <w:r w:rsidR="00923C61">
        <w:rPr>
          <w:rFonts w:ascii="Times New Roman" w:hAnsi="Times New Roman" w:cs="Times New Roman"/>
          <w:color w:val="000000" w:themeColor="text1"/>
          <w:shd w:val="clear" w:color="auto" w:fill="FFFFFF"/>
        </w:rPr>
        <w:t xml:space="preserve"> </w:t>
      </w:r>
      <w:r w:rsidR="009A38F8">
        <w:rPr>
          <w:rFonts w:ascii="Times New Roman" w:hAnsi="Times New Roman" w:cs="Times New Roman"/>
          <w:color w:val="000000" w:themeColor="text1"/>
          <w:shd w:val="clear" w:color="auto" w:fill="FFFFFF"/>
        </w:rPr>
        <w:t>show</w:t>
      </w:r>
      <w:r w:rsidR="002F4D3B">
        <w:rPr>
          <w:rFonts w:ascii="Times New Roman" w:hAnsi="Times New Roman" w:cs="Times New Roman"/>
          <w:color w:val="000000" w:themeColor="text1"/>
          <w:shd w:val="clear" w:color="auto" w:fill="FFFFFF"/>
        </w:rPr>
        <w:t>ed</w:t>
      </w:r>
      <w:r w:rsidR="009A38F8">
        <w:rPr>
          <w:rFonts w:ascii="Times New Roman" w:hAnsi="Times New Roman" w:cs="Times New Roman"/>
          <w:color w:val="000000" w:themeColor="text1"/>
          <w:shd w:val="clear" w:color="auto" w:fill="FFFFFF"/>
        </w:rPr>
        <w:t xml:space="preserve"> the </w:t>
      </w:r>
      <w:r w:rsidR="004D203E">
        <w:rPr>
          <w:rFonts w:ascii="Times New Roman" w:hAnsi="Times New Roman" w:cs="Times New Roman"/>
          <w:color w:val="000000" w:themeColor="text1"/>
          <w:shd w:val="clear" w:color="auto" w:fill="FFFFFF"/>
        </w:rPr>
        <w:t xml:space="preserve">handweeded plots to be different from </w:t>
      </w:r>
      <w:r w:rsidR="009A38F8">
        <w:rPr>
          <w:rFonts w:ascii="Times New Roman" w:hAnsi="Times New Roman" w:cs="Times New Roman"/>
          <w:color w:val="000000" w:themeColor="text1"/>
          <w:shd w:val="clear" w:color="auto" w:fill="FFFFFF"/>
        </w:rPr>
        <w:t>Clarity</w:t>
      </w:r>
      <w:r w:rsidR="004D203E">
        <w:rPr>
          <w:rFonts w:ascii="Times New Roman" w:hAnsi="Times New Roman" w:cs="Times New Roman"/>
          <w:color w:val="000000" w:themeColor="text1"/>
          <w:shd w:val="clear" w:color="auto" w:fill="FFFFFF"/>
        </w:rPr>
        <w:t xml:space="preserve"> at all three time points and </w:t>
      </w:r>
      <w:proofErr w:type="spellStart"/>
      <w:r w:rsidR="004D203E">
        <w:rPr>
          <w:rFonts w:ascii="Times New Roman" w:hAnsi="Times New Roman" w:cs="Times New Roman"/>
          <w:color w:val="000000" w:themeColor="text1"/>
          <w:shd w:val="clear" w:color="auto" w:fill="FFFFFF"/>
        </w:rPr>
        <w:t>Aatrex</w:t>
      </w:r>
      <w:proofErr w:type="spellEnd"/>
      <w:r w:rsidR="004D203E">
        <w:rPr>
          <w:rFonts w:ascii="Times New Roman" w:hAnsi="Times New Roman" w:cs="Times New Roman"/>
          <w:color w:val="000000" w:themeColor="text1"/>
          <w:shd w:val="clear" w:color="auto" w:fill="FFFFFF"/>
        </w:rPr>
        <w:t xml:space="preserve"> at times one and three (p &lt; 0.05)</w:t>
      </w:r>
      <w:r w:rsidR="009A38F8">
        <w:rPr>
          <w:rFonts w:ascii="Times New Roman" w:hAnsi="Times New Roman" w:cs="Times New Roman"/>
          <w:color w:val="000000" w:themeColor="text1"/>
          <w:shd w:val="clear" w:color="auto" w:fill="FFFFFF"/>
        </w:rPr>
        <w:t xml:space="preserve"> </w:t>
      </w:r>
    </w:p>
    <w:p w14:paraId="30B76C5B" w14:textId="77777777" w:rsidR="004D203E" w:rsidRDefault="00CA3F7E" w:rsidP="004D203E">
      <w:pPr>
        <w:spacing w:line="480" w:lineRule="auto"/>
        <w:ind w:firstLine="720"/>
        <w:rPr>
          <w:rFonts w:ascii="Times New Roman" w:hAnsi="Times New Roman" w:cs="Times New Roman"/>
          <w:color w:val="000000" w:themeColor="text1"/>
          <w:shd w:val="clear" w:color="auto" w:fill="FFFFFF"/>
        </w:rPr>
      </w:pPr>
      <w:r w:rsidRPr="002970C2">
        <w:rPr>
          <w:rFonts w:ascii="Times New Roman" w:hAnsi="Times New Roman" w:cs="Times New Roman"/>
          <w:color w:val="000000" w:themeColor="text1"/>
          <w:highlight w:val="green"/>
          <w:shd w:val="clear" w:color="auto" w:fill="FFFFFF"/>
        </w:rPr>
        <w:t>Comparison of</w:t>
      </w:r>
      <w:r w:rsidR="00D57637">
        <w:rPr>
          <w:rFonts w:ascii="Times New Roman" w:hAnsi="Times New Roman" w:cs="Times New Roman"/>
          <w:color w:val="000000" w:themeColor="text1"/>
          <w:highlight w:val="green"/>
          <w:shd w:val="clear" w:color="auto" w:fill="FFFFFF"/>
        </w:rPr>
        <w:t xml:space="preserve"> multivariate spread using</w:t>
      </w:r>
      <w:r w:rsidRPr="002970C2">
        <w:rPr>
          <w:rFonts w:ascii="Times New Roman" w:hAnsi="Times New Roman" w:cs="Times New Roman"/>
          <w:color w:val="000000" w:themeColor="text1"/>
          <w:highlight w:val="green"/>
          <w:shd w:val="clear" w:color="auto" w:fill="FFFFFF"/>
        </w:rPr>
        <w:t xml:space="preserve"> Bray-</w:t>
      </w:r>
      <w:proofErr w:type="gramStart"/>
      <w:r w:rsidRPr="002970C2">
        <w:rPr>
          <w:rFonts w:ascii="Times New Roman" w:hAnsi="Times New Roman" w:cs="Times New Roman"/>
          <w:color w:val="000000" w:themeColor="text1"/>
          <w:highlight w:val="green"/>
          <w:shd w:val="clear" w:color="auto" w:fill="FFFFFF"/>
        </w:rPr>
        <w:t>Curtis</w:t>
      </w:r>
      <w:proofErr w:type="gramEnd"/>
      <w:r w:rsidRPr="002970C2">
        <w:rPr>
          <w:rFonts w:ascii="Times New Roman" w:hAnsi="Times New Roman" w:cs="Times New Roman"/>
          <w:color w:val="000000" w:themeColor="text1"/>
          <w:highlight w:val="green"/>
          <w:shd w:val="clear" w:color="auto" w:fill="FFFFFF"/>
        </w:rPr>
        <w:t xml:space="preserve"> dissimilarity revealed </w:t>
      </w:r>
      <w:r w:rsidR="004D203E">
        <w:rPr>
          <w:rFonts w:ascii="Times New Roman" w:hAnsi="Times New Roman" w:cs="Times New Roman"/>
          <w:color w:val="000000" w:themeColor="text1"/>
          <w:highlight w:val="green"/>
          <w:shd w:val="clear" w:color="auto" w:fill="FFFFFF"/>
        </w:rPr>
        <w:t xml:space="preserve">treatment type specific trends. </w:t>
      </w:r>
      <w:r w:rsidR="00532539" w:rsidRPr="002970C2">
        <w:rPr>
          <w:rFonts w:ascii="Times New Roman" w:hAnsi="Times New Roman" w:cs="Times New Roman"/>
          <w:color w:val="000000" w:themeColor="text1"/>
          <w:highlight w:val="green"/>
          <w:shd w:val="clear" w:color="auto" w:fill="FFFFFF"/>
        </w:rPr>
        <w:t xml:space="preserve">Roundup and </w:t>
      </w:r>
      <w:proofErr w:type="spellStart"/>
      <w:r w:rsidR="00532539" w:rsidRPr="002970C2">
        <w:rPr>
          <w:rFonts w:ascii="Times New Roman" w:hAnsi="Times New Roman" w:cs="Times New Roman"/>
          <w:color w:val="000000" w:themeColor="text1"/>
          <w:highlight w:val="green"/>
          <w:shd w:val="clear" w:color="auto" w:fill="FFFFFF"/>
        </w:rPr>
        <w:t>Aatrex</w:t>
      </w:r>
      <w:proofErr w:type="spellEnd"/>
      <w:r w:rsidR="00532539" w:rsidRPr="002970C2">
        <w:rPr>
          <w:rFonts w:ascii="Times New Roman" w:hAnsi="Times New Roman" w:cs="Times New Roman"/>
          <w:color w:val="000000" w:themeColor="text1"/>
          <w:highlight w:val="green"/>
          <w:shd w:val="clear" w:color="auto" w:fill="FFFFFF"/>
        </w:rPr>
        <w:t xml:space="preserve"> treated plots showed a homogenization of their bacterial community</w:t>
      </w:r>
      <w:r w:rsidR="00B82EAF">
        <w:rPr>
          <w:rFonts w:ascii="Times New Roman" w:hAnsi="Times New Roman" w:cs="Times New Roman"/>
          <w:color w:val="000000" w:themeColor="text1"/>
          <w:highlight w:val="green"/>
          <w:shd w:val="clear" w:color="auto" w:fill="FFFFFF"/>
        </w:rPr>
        <w:t xml:space="preserve"> over the </w:t>
      </w:r>
      <w:r w:rsidR="004D203E">
        <w:rPr>
          <w:rFonts w:ascii="Times New Roman" w:hAnsi="Times New Roman" w:cs="Times New Roman"/>
          <w:color w:val="000000" w:themeColor="text1"/>
          <w:highlight w:val="green"/>
          <w:shd w:val="clear" w:color="auto" w:fill="FFFFFF"/>
        </w:rPr>
        <w:t>twenty-day</w:t>
      </w:r>
      <w:r w:rsidR="00B82EAF">
        <w:rPr>
          <w:rFonts w:ascii="Times New Roman" w:hAnsi="Times New Roman" w:cs="Times New Roman"/>
          <w:color w:val="000000" w:themeColor="text1"/>
          <w:highlight w:val="green"/>
          <w:shd w:val="clear" w:color="auto" w:fill="FFFFFF"/>
        </w:rPr>
        <w:t xml:space="preserve"> sampling period (p &lt; 0.057)</w:t>
      </w:r>
      <w:r w:rsidR="00532539" w:rsidRPr="002970C2">
        <w:rPr>
          <w:rFonts w:ascii="Times New Roman" w:hAnsi="Times New Roman" w:cs="Times New Roman"/>
          <w:color w:val="000000" w:themeColor="text1"/>
          <w:highlight w:val="green"/>
          <w:shd w:val="clear" w:color="auto" w:fill="FFFFFF"/>
        </w:rPr>
        <w:t>, while the handweeded and nontreated plots showed a</w:t>
      </w:r>
      <w:r w:rsidR="00B82EAF">
        <w:rPr>
          <w:rFonts w:ascii="Times New Roman" w:hAnsi="Times New Roman" w:cs="Times New Roman"/>
          <w:color w:val="000000" w:themeColor="text1"/>
          <w:highlight w:val="green"/>
          <w:shd w:val="clear" w:color="auto" w:fill="FFFFFF"/>
        </w:rPr>
        <w:t xml:space="preserve"> trend of </w:t>
      </w:r>
      <w:r w:rsidR="00532539" w:rsidRPr="002970C2">
        <w:rPr>
          <w:rFonts w:ascii="Times New Roman" w:hAnsi="Times New Roman" w:cs="Times New Roman"/>
          <w:color w:val="000000" w:themeColor="text1"/>
          <w:highlight w:val="green"/>
          <w:shd w:val="clear" w:color="auto" w:fill="FFFFFF"/>
        </w:rPr>
        <w:t>increase</w:t>
      </w:r>
      <w:r w:rsidR="00B82EAF">
        <w:rPr>
          <w:rFonts w:ascii="Times New Roman" w:hAnsi="Times New Roman" w:cs="Times New Roman"/>
          <w:color w:val="000000" w:themeColor="text1"/>
          <w:highlight w:val="green"/>
          <w:shd w:val="clear" w:color="auto" w:fill="FFFFFF"/>
        </w:rPr>
        <w:t>d</w:t>
      </w:r>
      <w:r w:rsidR="00532539" w:rsidRPr="002970C2">
        <w:rPr>
          <w:rFonts w:ascii="Times New Roman" w:hAnsi="Times New Roman" w:cs="Times New Roman"/>
          <w:color w:val="000000" w:themeColor="text1"/>
          <w:highlight w:val="green"/>
          <w:shd w:val="clear" w:color="auto" w:fill="FFFFFF"/>
        </w:rPr>
        <w:t xml:space="preserve"> heterogeneity</w:t>
      </w:r>
      <w:r w:rsidR="00B82EAF">
        <w:rPr>
          <w:rFonts w:ascii="Times New Roman" w:hAnsi="Times New Roman" w:cs="Times New Roman"/>
          <w:color w:val="000000" w:themeColor="text1"/>
          <w:highlight w:val="green"/>
          <w:shd w:val="clear" w:color="auto" w:fill="FFFFFF"/>
        </w:rPr>
        <w:t>, though this was not statistically significant</w:t>
      </w:r>
      <w:r w:rsidR="00532539" w:rsidRPr="002970C2">
        <w:rPr>
          <w:rFonts w:ascii="Times New Roman" w:hAnsi="Times New Roman" w:cs="Times New Roman"/>
          <w:color w:val="000000" w:themeColor="text1"/>
          <w:highlight w:val="green"/>
          <w:shd w:val="clear" w:color="auto" w:fill="FFFFFF"/>
        </w:rPr>
        <w:t xml:space="preserve"> (Figure 2 – column 2).</w:t>
      </w:r>
      <w:r w:rsidR="00B82EAF">
        <w:rPr>
          <w:rFonts w:ascii="Times New Roman" w:hAnsi="Times New Roman" w:cs="Times New Roman"/>
          <w:color w:val="000000" w:themeColor="text1"/>
          <w:highlight w:val="green"/>
          <w:shd w:val="clear" w:color="auto" w:fill="FFFFFF"/>
        </w:rPr>
        <w:t xml:space="preserve"> </w:t>
      </w:r>
      <w:r w:rsidR="00532539">
        <w:rPr>
          <w:rFonts w:ascii="Times New Roman" w:hAnsi="Times New Roman" w:cs="Times New Roman"/>
          <w:color w:val="000000" w:themeColor="text1"/>
          <w:highlight w:val="green"/>
          <w:shd w:val="clear" w:color="auto" w:fill="FFFFFF"/>
        </w:rPr>
        <w:t>When all chemical treatments were combined,</w:t>
      </w:r>
      <w:r w:rsidRPr="002970C2">
        <w:rPr>
          <w:rFonts w:ascii="Times New Roman" w:hAnsi="Times New Roman" w:cs="Times New Roman"/>
          <w:color w:val="000000" w:themeColor="text1"/>
          <w:highlight w:val="green"/>
          <w:shd w:val="clear" w:color="auto" w:fill="FFFFFF"/>
        </w:rPr>
        <w:t xml:space="preserve"> the </w:t>
      </w:r>
      <w:r w:rsidR="00D57637">
        <w:rPr>
          <w:rFonts w:ascii="Times New Roman" w:hAnsi="Times New Roman" w:cs="Times New Roman"/>
          <w:color w:val="000000" w:themeColor="text1"/>
          <w:highlight w:val="green"/>
          <w:shd w:val="clear" w:color="auto" w:fill="FFFFFF"/>
        </w:rPr>
        <w:t xml:space="preserve">chemical treated plots </w:t>
      </w:r>
      <w:r w:rsidRPr="002970C2">
        <w:rPr>
          <w:rFonts w:ascii="Times New Roman" w:hAnsi="Times New Roman" w:cs="Times New Roman"/>
          <w:color w:val="000000" w:themeColor="text1"/>
          <w:highlight w:val="green"/>
          <w:shd w:val="clear" w:color="auto" w:fill="FFFFFF"/>
        </w:rPr>
        <w:t>displayed a</w:t>
      </w:r>
      <w:r w:rsidR="00D57637">
        <w:rPr>
          <w:rFonts w:ascii="Times New Roman" w:hAnsi="Times New Roman" w:cs="Times New Roman"/>
          <w:color w:val="000000" w:themeColor="text1"/>
          <w:highlight w:val="green"/>
          <w:shd w:val="clear" w:color="auto" w:fill="FFFFFF"/>
        </w:rPr>
        <w:t xml:space="preserve"> higher level of multivariate spread </w:t>
      </w:r>
      <w:r w:rsidRPr="002970C2">
        <w:rPr>
          <w:rFonts w:ascii="Times New Roman" w:hAnsi="Times New Roman" w:cs="Times New Roman"/>
          <w:color w:val="000000" w:themeColor="text1"/>
          <w:highlight w:val="green"/>
          <w:shd w:val="clear" w:color="auto" w:fill="FFFFFF"/>
        </w:rPr>
        <w:t>as compared to the</w:t>
      </w:r>
      <w:r w:rsidR="00D57637">
        <w:rPr>
          <w:rFonts w:ascii="Times New Roman" w:hAnsi="Times New Roman" w:cs="Times New Roman"/>
          <w:color w:val="000000" w:themeColor="text1"/>
          <w:highlight w:val="green"/>
          <w:shd w:val="clear" w:color="auto" w:fill="FFFFFF"/>
        </w:rPr>
        <w:t xml:space="preserve"> non-treated and handweeded plots</w:t>
      </w:r>
      <w:r w:rsidRPr="002970C2">
        <w:rPr>
          <w:rFonts w:ascii="Times New Roman" w:hAnsi="Times New Roman" w:cs="Times New Roman"/>
          <w:color w:val="000000" w:themeColor="text1"/>
          <w:highlight w:val="green"/>
          <w:shd w:val="clear" w:color="auto" w:fill="FFFFFF"/>
        </w:rPr>
        <w:t xml:space="preserve"> </w:t>
      </w:r>
      <w:r w:rsidR="00532539">
        <w:rPr>
          <w:rFonts w:ascii="Times New Roman" w:hAnsi="Times New Roman" w:cs="Times New Roman"/>
          <w:color w:val="000000" w:themeColor="text1"/>
          <w:highlight w:val="green"/>
          <w:shd w:val="clear" w:color="auto" w:fill="FFFFFF"/>
        </w:rPr>
        <w:t xml:space="preserve">at sampling time one </w:t>
      </w:r>
      <w:r w:rsidRPr="002970C2">
        <w:rPr>
          <w:rFonts w:ascii="Times New Roman" w:hAnsi="Times New Roman" w:cs="Times New Roman"/>
          <w:color w:val="000000" w:themeColor="text1"/>
          <w:highlight w:val="green"/>
          <w:shd w:val="clear" w:color="auto" w:fill="FFFFFF"/>
        </w:rPr>
        <w:t xml:space="preserve">(p &lt; 0.01). </w:t>
      </w:r>
      <w:r w:rsidR="00532539">
        <w:rPr>
          <w:rFonts w:ascii="Times New Roman" w:hAnsi="Times New Roman" w:cs="Times New Roman"/>
          <w:color w:val="000000" w:themeColor="text1"/>
          <w:highlight w:val="green"/>
          <w:shd w:val="clear" w:color="auto" w:fill="FFFFFF"/>
        </w:rPr>
        <w:t>Over the next 20-days,</w:t>
      </w:r>
      <w:r w:rsidR="004D203E">
        <w:rPr>
          <w:rFonts w:ascii="Times New Roman" w:hAnsi="Times New Roman" w:cs="Times New Roman"/>
          <w:color w:val="000000" w:themeColor="text1"/>
          <w:highlight w:val="green"/>
          <w:shd w:val="clear" w:color="auto" w:fill="FFFFFF"/>
        </w:rPr>
        <w:t xml:space="preserve"> </w:t>
      </w:r>
      <w:r w:rsidR="00532539">
        <w:rPr>
          <w:rFonts w:ascii="Times New Roman" w:hAnsi="Times New Roman" w:cs="Times New Roman"/>
          <w:color w:val="000000" w:themeColor="text1"/>
          <w:highlight w:val="green"/>
          <w:shd w:val="clear" w:color="auto" w:fill="FFFFFF"/>
        </w:rPr>
        <w:t>this declined</w:t>
      </w:r>
      <w:r w:rsidR="004D203E">
        <w:rPr>
          <w:rFonts w:ascii="Times New Roman" w:hAnsi="Times New Roman" w:cs="Times New Roman"/>
          <w:color w:val="000000" w:themeColor="text1"/>
          <w:highlight w:val="green"/>
          <w:shd w:val="clear" w:color="auto" w:fill="FFFFFF"/>
        </w:rPr>
        <w:t>,</w:t>
      </w:r>
      <w:r w:rsidR="00532539">
        <w:rPr>
          <w:rFonts w:ascii="Times New Roman" w:hAnsi="Times New Roman" w:cs="Times New Roman"/>
          <w:color w:val="000000" w:themeColor="text1"/>
          <w:highlight w:val="green"/>
          <w:shd w:val="clear" w:color="auto" w:fill="FFFFFF"/>
        </w:rPr>
        <w:t xml:space="preserve"> and at the final sampling, all groups showed similar levels of multivariate spread (Figure XX). </w:t>
      </w:r>
      <w:r w:rsidR="00532539">
        <w:rPr>
          <w:rFonts w:ascii="Times New Roman" w:hAnsi="Times New Roman" w:cs="Times New Roman"/>
          <w:color w:val="000000" w:themeColor="text1"/>
          <w:highlight w:val="green"/>
          <w:shd w:val="clear" w:color="auto" w:fill="FFFFFF"/>
        </w:rPr>
        <w:lastRenderedPageBreak/>
        <w:t xml:space="preserve">Multivariate spread remained constant through the three sampling times in the handweeded and non-treated </w:t>
      </w:r>
      <w:proofErr w:type="gramStart"/>
      <w:r w:rsidR="00532539">
        <w:rPr>
          <w:rFonts w:ascii="Times New Roman" w:hAnsi="Times New Roman" w:cs="Times New Roman"/>
          <w:color w:val="000000" w:themeColor="text1"/>
          <w:highlight w:val="green"/>
          <w:shd w:val="clear" w:color="auto" w:fill="FFFFFF"/>
        </w:rPr>
        <w:t>plots, but</w:t>
      </w:r>
      <w:proofErr w:type="gramEnd"/>
      <w:r w:rsidR="00532539">
        <w:rPr>
          <w:rFonts w:ascii="Times New Roman" w:hAnsi="Times New Roman" w:cs="Times New Roman"/>
          <w:color w:val="000000" w:themeColor="text1"/>
          <w:highlight w:val="green"/>
          <w:shd w:val="clear" w:color="auto" w:fill="FFFFFF"/>
        </w:rPr>
        <w:t xml:space="preserve"> decreased significantly in the chemical treated plots</w:t>
      </w:r>
      <w:r w:rsidR="004D203E">
        <w:rPr>
          <w:rFonts w:ascii="Times New Roman" w:hAnsi="Times New Roman" w:cs="Times New Roman"/>
          <w:color w:val="000000" w:themeColor="text1"/>
          <w:highlight w:val="green"/>
          <w:shd w:val="clear" w:color="auto" w:fill="FFFFFF"/>
        </w:rPr>
        <w:t>.</w:t>
      </w:r>
      <w:r w:rsidR="00532539">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 </w:t>
      </w:r>
    </w:p>
    <w:p w14:paraId="4D9C0E64" w14:textId="4441F095" w:rsidR="0053582D" w:rsidRPr="00B82EAF" w:rsidRDefault="00E311F4" w:rsidP="004D203E">
      <w:pPr>
        <w:spacing w:line="480" w:lineRule="auto"/>
        <w:ind w:firstLine="720"/>
        <w:rPr>
          <w:rFonts w:ascii="Times New Roman" w:hAnsi="Times New Roman" w:cs="Times New Roman"/>
          <w:color w:val="000000" w:themeColor="text1"/>
          <w:highlight w:val="green"/>
          <w:shd w:val="clear" w:color="auto" w:fill="FFFFFF"/>
        </w:rPr>
      </w:pPr>
      <w:r>
        <w:rPr>
          <w:rFonts w:ascii="Times New Roman" w:hAnsi="Times New Roman" w:cs="Times New Roman"/>
          <w:color w:val="000000" w:themeColor="text1"/>
          <w:shd w:val="clear" w:color="auto" w:fill="FFFFFF"/>
        </w:rPr>
        <w:t xml:space="preserve">Changes in the abundance of dominant </w:t>
      </w:r>
      <w:r w:rsidR="00CA3F7E">
        <w:rPr>
          <w:rFonts w:ascii="Times New Roman" w:hAnsi="Times New Roman" w:cs="Times New Roman"/>
          <w:color w:val="000000" w:themeColor="text1"/>
          <w:shd w:val="clear" w:color="auto" w:fill="FFFFFF"/>
        </w:rPr>
        <w:t>taxa</w:t>
      </w:r>
      <w:r>
        <w:rPr>
          <w:rFonts w:ascii="Times New Roman" w:hAnsi="Times New Roman" w:cs="Times New Roman"/>
          <w:color w:val="000000" w:themeColor="text1"/>
          <w:shd w:val="clear" w:color="auto" w:fill="FFFFFF"/>
        </w:rPr>
        <w:t xml:space="preserve"> over time were detected in all treatment types, with </w:t>
      </w:r>
      <w:commentRangeStart w:id="9"/>
      <w:proofErr w:type="spellStart"/>
      <w:r w:rsidR="00CA3F7E">
        <w:rPr>
          <w:rFonts w:ascii="Times New Roman" w:hAnsi="Times New Roman" w:cs="Times New Roman"/>
          <w:color w:val="000000" w:themeColor="text1"/>
          <w:shd w:val="clear" w:color="auto" w:fill="FFFFFF"/>
        </w:rPr>
        <w:t>Shpingomonadacae</w:t>
      </w:r>
      <w:commentRangeEnd w:id="9"/>
      <w:proofErr w:type="spellEnd"/>
      <w:r w:rsidR="00CA3F7E">
        <w:rPr>
          <w:rStyle w:val="CommentReference"/>
          <w:rFonts w:ascii="Times New Roman" w:eastAsia="Times New Roman" w:hAnsi="Times New Roman" w:cs="Times New Roman"/>
          <w:color w:val="000000"/>
          <w:lang w:eastAsia="de-DE"/>
        </w:rPr>
        <w:commentReference w:id="9"/>
      </w:r>
      <w:r w:rsidR="00CA3F7E">
        <w:rPr>
          <w:rFonts w:ascii="Times New Roman" w:hAnsi="Times New Roman" w:cs="Times New Roman"/>
          <w:color w:val="000000" w:themeColor="text1"/>
          <w:shd w:val="clear" w:color="auto" w:fill="FFFFFF"/>
        </w:rPr>
        <w:t xml:space="preserve"> showing a statistically significant increase in abundance in all chemical herbicide treated plots</w:t>
      </w:r>
      <w:r w:rsidR="00B42E0E">
        <w:rPr>
          <w:rFonts w:ascii="Times New Roman" w:hAnsi="Times New Roman" w:cs="Times New Roman"/>
          <w:color w:val="000000" w:themeColor="text1"/>
          <w:shd w:val="clear" w:color="auto" w:fill="FFFFFF"/>
        </w:rPr>
        <w:t xml:space="preserve"> </w:t>
      </w:r>
      <w:r w:rsidR="00B42E0E" w:rsidRPr="00B42E0E">
        <w:rPr>
          <w:rFonts w:ascii="Times New Roman" w:hAnsi="Times New Roman" w:cs="Times New Roman"/>
          <w:color w:val="000000" w:themeColor="text1"/>
          <w:highlight w:val="yellow"/>
          <w:shd w:val="clear" w:color="auto" w:fill="FFFFFF"/>
        </w:rPr>
        <w:t>(p &lt; 0.001, F</w:t>
      </w:r>
      <w:r w:rsidR="00B42E0E" w:rsidRPr="00B42E0E">
        <w:rPr>
          <w:rFonts w:ascii="Times New Roman" w:hAnsi="Times New Roman" w:cs="Times New Roman"/>
          <w:color w:val="000000" w:themeColor="text1"/>
          <w:highlight w:val="yellow"/>
          <w:shd w:val="clear" w:color="auto" w:fill="FFFFFF"/>
          <w:vertAlign w:val="subscript"/>
        </w:rPr>
        <w:t xml:space="preserve">2,30 </w:t>
      </w:r>
      <w:r w:rsidR="00B42E0E" w:rsidRPr="00B42E0E">
        <w:rPr>
          <w:rFonts w:ascii="Times New Roman" w:hAnsi="Times New Roman" w:cs="Times New Roman"/>
          <w:color w:val="000000" w:themeColor="text1"/>
          <w:highlight w:val="yellow"/>
          <w:shd w:val="clear" w:color="auto" w:fill="FFFFFF"/>
        </w:rPr>
        <w:t>= 9.469)</w:t>
      </w:r>
      <w:r w:rsidR="00B42E0E">
        <w:rPr>
          <w:rFonts w:ascii="Times New Roman" w:hAnsi="Times New Roman" w:cs="Times New Roman"/>
          <w:color w:val="000000" w:themeColor="text1"/>
          <w:shd w:val="clear" w:color="auto" w:fill="FFFFFF"/>
        </w:rPr>
        <w:t xml:space="preserve"> (Supplementary figure XXX)</w:t>
      </w:r>
      <w:r w:rsidR="00CA3F7E">
        <w:rPr>
          <w:rFonts w:ascii="Times New Roman" w:hAnsi="Times New Roman" w:cs="Times New Roman"/>
          <w:color w:val="000000" w:themeColor="text1"/>
          <w:shd w:val="clear" w:color="auto" w:fill="FFFFFF"/>
        </w:rPr>
        <w:t xml:space="preserve">. </w:t>
      </w:r>
      <w:r w:rsidR="00021CFF">
        <w:rPr>
          <w:rFonts w:ascii="Times New Roman" w:hAnsi="Times New Roman" w:cs="Times New Roman"/>
          <w:color w:val="000000" w:themeColor="text1"/>
          <w:shd w:val="clear" w:color="auto" w:fill="FFFFFF"/>
        </w:rPr>
        <w:t xml:space="preserve"> </w:t>
      </w:r>
    </w:p>
    <w:p w14:paraId="50096222" w14:textId="711B8AB1" w:rsidR="0053582D" w:rsidRDefault="0053582D" w:rsidP="0053582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Fung</w:t>
      </w:r>
      <w:r w:rsidR="009B3670">
        <w:rPr>
          <w:rFonts w:ascii="Times New Roman" w:hAnsi="Times New Roman" w:cs="Times New Roman"/>
          <w:i/>
          <w:iCs/>
          <w:color w:val="000000" w:themeColor="text1"/>
          <w:shd w:val="clear" w:color="auto" w:fill="FFFFFF"/>
        </w:rPr>
        <w:t>al diversity</w:t>
      </w:r>
    </w:p>
    <w:p w14:paraId="68D54443" w14:textId="1E30882B" w:rsidR="009B3670" w:rsidRPr="009B3670" w:rsidRDefault="00CA3F7E" w:rsidP="009B3670">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color w:val="000000" w:themeColor="text1"/>
          <w:shd w:val="clear" w:color="auto" w:fill="FFFFFF"/>
        </w:rPr>
        <w:t>Fungal count tables were rarefied to 1,000 reads per sample and resulted in 157 independent samples being included in downstream analysis, after outlier removal</w:t>
      </w:r>
      <w:r w:rsidR="002F4D3B">
        <w:rPr>
          <w:rFonts w:ascii="Times New Roman" w:hAnsi="Times New Roman" w:cs="Times New Roman"/>
          <w:color w:val="000000" w:themeColor="text1"/>
          <w:shd w:val="clear" w:color="auto" w:fill="FFFFFF"/>
        </w:rPr>
        <w:t>;</w:t>
      </w:r>
      <w:r w:rsidR="002F4D3B" w:rsidRPr="002F4D3B">
        <w:rPr>
          <w:rFonts w:ascii="Times New Roman" w:hAnsi="Times New Roman" w:cs="Times New Roman"/>
          <w:color w:val="000000" w:themeColor="text1"/>
          <w:shd w:val="clear" w:color="auto" w:fill="FFFFFF"/>
        </w:rPr>
        <w:t xml:space="preserve"> rarefied results reported unless otherwise noted</w:t>
      </w:r>
      <w:r>
        <w:rPr>
          <w:rFonts w:ascii="Times New Roman" w:hAnsi="Times New Roman" w:cs="Times New Roman"/>
          <w:color w:val="000000" w:themeColor="text1"/>
          <w:shd w:val="clear" w:color="auto" w:fill="FFFFFF"/>
        </w:rPr>
        <w:t xml:space="preserve">. No differences in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-diversity (Shannon, richness, or Chao1) were found between the treatment types at either of the first two sampling times (p &gt; 0.3). At </w:t>
      </w:r>
      <w:r w:rsidR="002F4D3B">
        <w:rPr>
          <w:rFonts w:ascii="Times New Roman" w:hAnsi="Times New Roman" w:cs="Times New Roman"/>
          <w:color w:val="000000" w:themeColor="text1"/>
          <w:shd w:val="clear" w:color="auto" w:fill="FFFFFF"/>
        </w:rPr>
        <w:t>20-days</w:t>
      </w:r>
      <w:r>
        <w:rPr>
          <w:rFonts w:ascii="Times New Roman" w:hAnsi="Times New Roman" w:cs="Times New Roman"/>
          <w:color w:val="000000" w:themeColor="text1"/>
          <w:shd w:val="clear" w:color="auto" w:fill="FFFFFF"/>
        </w:rPr>
        <w:t xml:space="preserve"> post application, the global model showed Shannon diversity </w:t>
      </w:r>
      <w:r w:rsidR="002F4D3B">
        <w:rPr>
          <w:rFonts w:ascii="Times New Roman" w:hAnsi="Times New Roman" w:cs="Times New Roman"/>
          <w:color w:val="000000" w:themeColor="text1"/>
          <w:shd w:val="clear" w:color="auto" w:fill="FFFFFF"/>
        </w:rPr>
        <w:t xml:space="preserve">(H`) </w:t>
      </w:r>
      <w:r>
        <w:rPr>
          <w:rFonts w:ascii="Times New Roman" w:hAnsi="Times New Roman" w:cs="Times New Roman"/>
          <w:color w:val="000000" w:themeColor="text1"/>
          <w:shd w:val="clear" w:color="auto" w:fill="FFFFFF"/>
        </w:rPr>
        <w:t>to be marginally significant (p = 0.051,</w:t>
      </w:r>
      <w:r w:rsidRPr="00CA3F7E">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4</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48</w:t>
      </w:r>
      <w:r w:rsidRPr="00B3074D">
        <w:rPr>
          <w:rFonts w:ascii="Times New Roman" w:hAnsi="Times New Roman" w:cs="Times New Roman"/>
          <w:color w:val="000000" w:themeColor="text1"/>
          <w:shd w:val="clear" w:color="auto" w:fill="FFFFFF"/>
        </w:rPr>
        <w:t xml:space="preserve"> = </w:t>
      </w:r>
      <w:r>
        <w:rPr>
          <w:rFonts w:ascii="Times New Roman" w:hAnsi="Times New Roman" w:cs="Times New Roman"/>
          <w:color w:val="000000" w:themeColor="text1"/>
          <w:shd w:val="clear" w:color="auto" w:fill="FFFFFF"/>
        </w:rPr>
        <w:t>2.551), with no significant pairwise differences between treatments. PERMANOVA testing of the rarefied and DMN taxon tables revealed a significant effect</w:t>
      </w:r>
      <w:r w:rsidR="00733695">
        <w:rPr>
          <w:rFonts w:ascii="Times New Roman" w:hAnsi="Times New Roman" w:cs="Times New Roman"/>
          <w:color w:val="000000" w:themeColor="text1"/>
          <w:shd w:val="clear" w:color="auto" w:fill="FFFFFF"/>
        </w:rPr>
        <w:t>s</w:t>
      </w:r>
      <w:r>
        <w:rPr>
          <w:rFonts w:ascii="Times New Roman" w:hAnsi="Times New Roman" w:cs="Times New Roman"/>
          <w:color w:val="000000" w:themeColor="text1"/>
          <w:shd w:val="clear" w:color="auto" w:fill="FFFFFF"/>
        </w:rPr>
        <w:t xml:space="preserve"> of </w:t>
      </w:r>
      <w:r w:rsidR="00B42E0E">
        <w:rPr>
          <w:rFonts w:ascii="Times New Roman" w:hAnsi="Times New Roman" w:cs="Times New Roman"/>
          <w:color w:val="000000" w:themeColor="text1"/>
          <w:shd w:val="clear" w:color="auto" w:fill="FFFFFF"/>
        </w:rPr>
        <w:t xml:space="preserve">sampling </w:t>
      </w:r>
      <w:r>
        <w:rPr>
          <w:rFonts w:ascii="Times New Roman" w:hAnsi="Times New Roman" w:cs="Times New Roman"/>
          <w:color w:val="000000" w:themeColor="text1"/>
          <w:shd w:val="clear" w:color="auto" w:fill="FFFFFF"/>
        </w:rPr>
        <w:t xml:space="preserve">time </w:t>
      </w:r>
      <w:bookmarkStart w:id="10" w:name="OLE_LINK1"/>
      <w:bookmarkStart w:id="11" w:name="OLE_LINK2"/>
      <w:r>
        <w:rPr>
          <w:rFonts w:ascii="Times New Roman" w:hAnsi="Times New Roman" w:cs="Times New Roman"/>
          <w:color w:val="000000" w:themeColor="text1"/>
          <w:shd w:val="clear" w:color="auto" w:fill="FFFFFF"/>
        </w:rPr>
        <w:t>(p &lt; 0.0</w:t>
      </w:r>
      <w:r w:rsidR="00733695">
        <w:rPr>
          <w:rFonts w:ascii="Times New Roman" w:hAnsi="Times New Roman" w:cs="Times New Roman"/>
          <w:color w:val="000000" w:themeColor="text1"/>
          <w:shd w:val="clear" w:color="auto" w:fill="FFFFFF"/>
        </w:rPr>
        <w:t>5</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w:t>
      </w:r>
      <w:r w:rsidR="00733695">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w:t>
      </w:r>
      <w:r w:rsidR="00733695">
        <w:rPr>
          <w:rFonts w:ascii="Times New Roman" w:hAnsi="Times New Roman" w:cs="Times New Roman"/>
          <w:color w:val="000000" w:themeColor="text1"/>
          <w:shd w:val="clear" w:color="auto" w:fill="FFFFFF"/>
          <w:vertAlign w:val="subscript"/>
        </w:rPr>
        <w:t>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&lt; 1.52</w:t>
      </w:r>
      <w:r w:rsidR="00733695">
        <w:rPr>
          <w:rFonts w:ascii="Times New Roman" w:hAnsi="Times New Roman" w:cs="Times New Roman"/>
          <w:color w:val="000000" w:themeColor="text1"/>
          <w:shd w:val="clear" w:color="auto" w:fill="FFFFFF"/>
        </w:rPr>
        <w:t>1</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0.01</w:t>
      </w:r>
      <w:r w:rsidR="00733695">
        <w:rPr>
          <w:rFonts w:ascii="Times New Roman" w:hAnsi="Times New Roman" w:cs="Times New Roman"/>
          <w:color w:val="000000" w:themeColor="text1"/>
          <w:shd w:val="clear" w:color="auto" w:fill="FFFFFF"/>
        </w:rPr>
        <w:t>39</w:t>
      </w:r>
      <w:r>
        <w:rPr>
          <w:rFonts w:ascii="Times New Roman" w:hAnsi="Times New Roman" w:cs="Times New Roman"/>
          <w:color w:val="000000" w:themeColor="text1"/>
          <w:shd w:val="clear" w:color="auto" w:fill="FFFFFF"/>
        </w:rPr>
        <w:t>)</w:t>
      </w:r>
      <w:r w:rsidR="00733695">
        <w:rPr>
          <w:rFonts w:ascii="Times New Roman" w:hAnsi="Times New Roman" w:cs="Times New Roman"/>
          <w:color w:val="000000" w:themeColor="text1"/>
          <w:shd w:val="clear" w:color="auto" w:fill="FFFFFF"/>
        </w:rPr>
        <w:t xml:space="preserve">, </w:t>
      </w:r>
      <w:bookmarkEnd w:id="10"/>
      <w:bookmarkEnd w:id="11"/>
      <w:r w:rsidR="00733695">
        <w:rPr>
          <w:rFonts w:ascii="Times New Roman" w:hAnsi="Times New Roman" w:cs="Times New Roman"/>
          <w:color w:val="000000" w:themeColor="text1"/>
          <w:shd w:val="clear" w:color="auto" w:fill="FFFFFF"/>
        </w:rPr>
        <w:t xml:space="preserve">total weedy vegetation (p &lt; 0.01, </w:t>
      </w:r>
      <w:r w:rsidR="00733695" w:rsidRPr="00B3074D">
        <w:rPr>
          <w:rFonts w:ascii="Times New Roman" w:hAnsi="Times New Roman" w:cs="Times New Roman"/>
          <w:color w:val="000000" w:themeColor="text1"/>
          <w:shd w:val="clear" w:color="auto" w:fill="FFFFFF"/>
        </w:rPr>
        <w:t>F</w:t>
      </w:r>
      <w:r w:rsidR="00733695">
        <w:rPr>
          <w:rFonts w:ascii="Times New Roman" w:hAnsi="Times New Roman" w:cs="Times New Roman"/>
          <w:color w:val="000000" w:themeColor="text1"/>
          <w:shd w:val="clear" w:color="auto" w:fill="FFFFFF"/>
          <w:vertAlign w:val="subscript"/>
        </w:rPr>
        <w:t>1</w:t>
      </w:r>
      <w:r w:rsidR="00733695" w:rsidRPr="00B3074D">
        <w:rPr>
          <w:rFonts w:ascii="Times New Roman" w:hAnsi="Times New Roman" w:cs="Times New Roman"/>
          <w:color w:val="000000" w:themeColor="text1"/>
          <w:shd w:val="clear" w:color="auto" w:fill="FFFFFF"/>
          <w:vertAlign w:val="subscript"/>
        </w:rPr>
        <w:t>,</w:t>
      </w:r>
      <w:r w:rsidR="00733695">
        <w:rPr>
          <w:rFonts w:ascii="Times New Roman" w:hAnsi="Times New Roman" w:cs="Times New Roman"/>
          <w:color w:val="000000" w:themeColor="text1"/>
          <w:shd w:val="clear" w:color="auto" w:fill="FFFFFF"/>
          <w:vertAlign w:val="subscript"/>
        </w:rPr>
        <w:t>140</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 1.845,</w:t>
      </w:r>
      <w:r w:rsidR="00733695" w:rsidRPr="00B3074D">
        <w:rPr>
          <w:rFonts w:ascii="Times New Roman" w:hAnsi="Times New Roman" w:cs="Times New Roman"/>
          <w:color w:val="000000" w:themeColor="text1"/>
          <w:shd w:val="clear" w:color="auto" w:fill="FFFFFF"/>
        </w:rPr>
        <w:t xml:space="preserve"> R</w:t>
      </w:r>
      <w:r w:rsidR="00733695" w:rsidRPr="00B3074D">
        <w:rPr>
          <w:rFonts w:ascii="Times New Roman" w:hAnsi="Times New Roman" w:cs="Times New Roman"/>
          <w:color w:val="000000" w:themeColor="text1"/>
          <w:shd w:val="clear" w:color="auto" w:fill="FFFFFF"/>
          <w:vertAlign w:val="superscript"/>
        </w:rPr>
        <w:t>2</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0.0116), and the interaction of sampling time*</w:t>
      </w:r>
      <w:r w:rsidR="00455E94">
        <w:rPr>
          <w:rFonts w:ascii="Times New Roman" w:hAnsi="Times New Roman" w:cs="Times New Roman"/>
          <w:color w:val="000000" w:themeColor="text1"/>
          <w:shd w:val="clear" w:color="auto" w:fill="FFFFFF"/>
        </w:rPr>
        <w:t>weed removal treatment</w:t>
      </w:r>
      <w:r w:rsidR="00733695">
        <w:rPr>
          <w:rFonts w:ascii="Times New Roman" w:hAnsi="Times New Roman" w:cs="Times New Roman"/>
          <w:color w:val="000000" w:themeColor="text1"/>
          <w:shd w:val="clear" w:color="auto" w:fill="FFFFFF"/>
        </w:rPr>
        <w:t xml:space="preserve"> (p &lt; 0.05, </w:t>
      </w:r>
      <w:r w:rsidR="00733695" w:rsidRPr="00B3074D">
        <w:rPr>
          <w:rFonts w:ascii="Times New Roman" w:hAnsi="Times New Roman" w:cs="Times New Roman"/>
          <w:color w:val="000000" w:themeColor="text1"/>
          <w:shd w:val="clear" w:color="auto" w:fill="FFFFFF"/>
        </w:rPr>
        <w:t>F</w:t>
      </w:r>
      <w:r w:rsidR="00733695">
        <w:rPr>
          <w:rFonts w:ascii="Times New Roman" w:hAnsi="Times New Roman" w:cs="Times New Roman"/>
          <w:color w:val="000000" w:themeColor="text1"/>
          <w:shd w:val="clear" w:color="auto" w:fill="FFFFFF"/>
          <w:vertAlign w:val="subscript"/>
        </w:rPr>
        <w:t>8</w:t>
      </w:r>
      <w:r w:rsidR="00733695" w:rsidRPr="00B3074D">
        <w:rPr>
          <w:rFonts w:ascii="Times New Roman" w:hAnsi="Times New Roman" w:cs="Times New Roman"/>
          <w:color w:val="000000" w:themeColor="text1"/>
          <w:shd w:val="clear" w:color="auto" w:fill="FFFFFF"/>
          <w:vertAlign w:val="subscript"/>
        </w:rPr>
        <w:t>,</w:t>
      </w:r>
      <w:r w:rsidR="00733695">
        <w:rPr>
          <w:rFonts w:ascii="Times New Roman" w:hAnsi="Times New Roman" w:cs="Times New Roman"/>
          <w:color w:val="000000" w:themeColor="text1"/>
          <w:shd w:val="clear" w:color="auto" w:fill="FFFFFF"/>
          <w:vertAlign w:val="subscript"/>
        </w:rPr>
        <w:t>140</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 1.185,</w:t>
      </w:r>
      <w:r w:rsidR="00733695" w:rsidRPr="00B3074D">
        <w:rPr>
          <w:rFonts w:ascii="Times New Roman" w:hAnsi="Times New Roman" w:cs="Times New Roman"/>
          <w:color w:val="000000" w:themeColor="text1"/>
          <w:shd w:val="clear" w:color="auto" w:fill="FFFFFF"/>
        </w:rPr>
        <w:t xml:space="preserve"> R</w:t>
      </w:r>
      <w:r w:rsidR="00733695" w:rsidRPr="00B3074D">
        <w:rPr>
          <w:rFonts w:ascii="Times New Roman" w:hAnsi="Times New Roman" w:cs="Times New Roman"/>
          <w:color w:val="000000" w:themeColor="text1"/>
          <w:shd w:val="clear" w:color="auto" w:fill="FFFFFF"/>
          <w:vertAlign w:val="superscript"/>
        </w:rPr>
        <w:t>2</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0.0259)</w:t>
      </w:r>
      <w:r>
        <w:rPr>
          <w:rFonts w:ascii="Times New Roman" w:hAnsi="Times New Roman" w:cs="Times New Roman"/>
          <w:color w:val="000000" w:themeColor="text1"/>
          <w:shd w:val="clear" w:color="auto" w:fill="FFFFFF"/>
        </w:rPr>
        <w:t xml:space="preserve"> (Figure 3, column 1)</w:t>
      </w:r>
      <w:r w:rsidR="002F4D3B">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Additionally, no clear trends in dissimilarity within treatments through time were found for the fungal community (Figure 3 – column</w:t>
      </w:r>
      <w:r w:rsidR="00B42E0E">
        <w:rPr>
          <w:rFonts w:ascii="Times New Roman" w:hAnsi="Times New Roman" w:cs="Times New Roman"/>
          <w:color w:val="000000" w:themeColor="text1"/>
          <w:shd w:val="clear" w:color="auto" w:fill="FFFFFF"/>
        </w:rPr>
        <w:t>s 2</w:t>
      </w:r>
      <w:r w:rsidR="002F4D3B">
        <w:rPr>
          <w:rFonts w:ascii="Times New Roman" w:hAnsi="Times New Roman" w:cs="Times New Roman"/>
          <w:color w:val="000000" w:themeColor="text1"/>
          <w:shd w:val="clear" w:color="auto" w:fill="FFFFFF"/>
        </w:rPr>
        <w:t xml:space="preserve"> </w:t>
      </w:r>
      <w:r w:rsidR="00B42E0E">
        <w:rPr>
          <w:rFonts w:ascii="Times New Roman" w:hAnsi="Times New Roman" w:cs="Times New Roman"/>
          <w:color w:val="000000" w:themeColor="text1"/>
          <w:shd w:val="clear" w:color="auto" w:fill="FFFFFF"/>
        </w:rPr>
        <w:t>&amp;</w:t>
      </w:r>
      <w:r w:rsidR="002F4D3B">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3). </w:t>
      </w:r>
      <w:r w:rsidR="00B42E0E">
        <w:rPr>
          <w:rFonts w:ascii="Times New Roman" w:hAnsi="Times New Roman" w:cs="Times New Roman"/>
          <w:color w:val="000000" w:themeColor="text1"/>
          <w:shd w:val="clear" w:color="auto" w:fill="FFFFFF"/>
        </w:rPr>
        <w:t xml:space="preserve">Shifts in dominant fungal families revealed increased abundance of </w:t>
      </w:r>
      <w:commentRangeStart w:id="12"/>
      <w:proofErr w:type="spellStart"/>
      <w:r w:rsidR="00B42E0E" w:rsidRPr="00B42E0E">
        <w:rPr>
          <w:rFonts w:ascii="Times New Roman" w:hAnsi="Times New Roman" w:cs="Times New Roman"/>
          <w:color w:val="000000" w:themeColor="text1"/>
          <w:shd w:val="clear" w:color="auto" w:fill="FFFFFF"/>
        </w:rPr>
        <w:t>Ceratobasidiaceae</w:t>
      </w:r>
      <w:proofErr w:type="spellEnd"/>
      <w:r w:rsidR="00B42E0E">
        <w:rPr>
          <w:rFonts w:ascii="Times New Roman" w:hAnsi="Times New Roman" w:cs="Times New Roman"/>
          <w:color w:val="000000" w:themeColor="text1"/>
          <w:shd w:val="clear" w:color="auto" w:fill="FFFFFF"/>
        </w:rPr>
        <w:t xml:space="preserve"> in the Roundup </w:t>
      </w:r>
      <w:proofErr w:type="spellStart"/>
      <w:r w:rsidR="00B42E0E">
        <w:rPr>
          <w:rFonts w:ascii="Times New Roman" w:hAnsi="Times New Roman" w:cs="Times New Roman"/>
          <w:color w:val="000000" w:themeColor="text1"/>
          <w:shd w:val="clear" w:color="auto" w:fill="FFFFFF"/>
        </w:rPr>
        <w:t>Powermax</w:t>
      </w:r>
      <w:proofErr w:type="spellEnd"/>
      <w:r w:rsidR="00B42E0E">
        <w:rPr>
          <w:rFonts w:ascii="Times New Roman" w:hAnsi="Times New Roman" w:cs="Times New Roman"/>
          <w:color w:val="000000" w:themeColor="text1"/>
          <w:shd w:val="clear" w:color="auto" w:fill="FFFFFF"/>
        </w:rPr>
        <w:t xml:space="preserve"> treated plots over the three sampling times (p &lt; 0.001, F</w:t>
      </w:r>
      <w:r w:rsidR="00B42E0E">
        <w:rPr>
          <w:rFonts w:ascii="Times New Roman" w:hAnsi="Times New Roman" w:cs="Times New Roman"/>
          <w:color w:val="000000" w:themeColor="text1"/>
          <w:shd w:val="clear" w:color="auto" w:fill="FFFFFF"/>
          <w:vertAlign w:val="subscript"/>
        </w:rPr>
        <w:t xml:space="preserve">2,30 </w:t>
      </w:r>
      <w:r w:rsidR="00B42E0E">
        <w:rPr>
          <w:rFonts w:ascii="Times New Roman" w:hAnsi="Times New Roman" w:cs="Times New Roman"/>
          <w:color w:val="000000" w:themeColor="text1"/>
          <w:shd w:val="clear" w:color="auto" w:fill="FFFFFF"/>
        </w:rPr>
        <w:t xml:space="preserve">= 9.469) (Supplementary figure X). </w:t>
      </w:r>
      <w:commentRangeEnd w:id="12"/>
      <w:r w:rsidR="00B42E0E">
        <w:rPr>
          <w:rStyle w:val="CommentReference"/>
          <w:rFonts w:ascii="Times New Roman" w:eastAsia="Times New Roman" w:hAnsi="Times New Roman" w:cs="Times New Roman"/>
          <w:color w:val="000000"/>
          <w:lang w:eastAsia="de-DE"/>
        </w:rPr>
        <w:commentReference w:id="12"/>
      </w:r>
      <w:bookmarkStart w:id="13" w:name="_Toc71026836"/>
    </w:p>
    <w:p w14:paraId="1EB24B3A" w14:textId="4D58F5A9" w:rsidR="00B3074D" w:rsidRPr="00B3074D" w:rsidRDefault="00B3074D" w:rsidP="00B3074D">
      <w:pPr>
        <w:pStyle w:val="headingdissertation"/>
        <w:spacing w:line="480" w:lineRule="auto"/>
      </w:pPr>
      <w:r w:rsidRPr="00B3074D">
        <w:t>Discussion</w:t>
      </w:r>
      <w:bookmarkEnd w:id="13"/>
    </w:p>
    <w:p w14:paraId="38FCACD7" w14:textId="3914FFAD"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Our examination of soil properties and microbial function following </w:t>
      </w:r>
      <w:r w:rsidR="00455E94">
        <w:rPr>
          <w:rFonts w:ascii="Times New Roman" w:hAnsi="Times New Roman" w:cs="Times New Roman"/>
          <w:color w:val="000000" w:themeColor="text1"/>
          <w:shd w:val="clear" w:color="auto" w:fill="FFFFFF"/>
        </w:rPr>
        <w:t xml:space="preserve">weed removal treatment </w:t>
      </w:r>
      <w:r w:rsidRPr="00B3074D">
        <w:rPr>
          <w:rFonts w:ascii="Times New Roman" w:hAnsi="Times New Roman" w:cs="Times New Roman"/>
          <w:color w:val="000000" w:themeColor="text1"/>
          <w:shd w:val="clear" w:color="auto" w:fill="FFFFFF"/>
        </w:rPr>
        <w:t xml:space="preserve">revealed few statistically significant differences over </w:t>
      </w:r>
      <w:r w:rsidR="009B3670">
        <w:rPr>
          <w:rFonts w:ascii="Times New Roman" w:hAnsi="Times New Roman" w:cs="Times New Roman"/>
          <w:color w:val="000000" w:themeColor="text1"/>
          <w:shd w:val="clear" w:color="auto" w:fill="FFFFFF"/>
        </w:rPr>
        <w:t>20-</w:t>
      </w:r>
      <w:r w:rsidRPr="00B3074D">
        <w:rPr>
          <w:rFonts w:ascii="Times New Roman" w:hAnsi="Times New Roman" w:cs="Times New Roman"/>
          <w:color w:val="000000" w:themeColor="text1"/>
          <w:shd w:val="clear" w:color="auto" w:fill="FFFFFF"/>
        </w:rPr>
        <w:t>days post-treatment.</w:t>
      </w:r>
      <w:r w:rsidR="00733695">
        <w:rPr>
          <w:rFonts w:ascii="Times New Roman" w:hAnsi="Times New Roman" w:cs="Times New Roman"/>
          <w:color w:val="000000" w:themeColor="text1"/>
          <w:shd w:val="clear" w:color="auto" w:fill="FFFFFF"/>
        </w:rPr>
        <w:t xml:space="preserve"> </w:t>
      </w:r>
      <w:r w:rsidR="00733695" w:rsidRPr="00B3074D">
        <w:rPr>
          <w:rFonts w:ascii="Times New Roman" w:hAnsi="Times New Roman" w:cs="Times New Roman"/>
          <w:color w:val="000000" w:themeColor="text1"/>
          <w:shd w:val="clear" w:color="auto" w:fill="FFFFFF"/>
        </w:rPr>
        <w:t>Our results suggest</w:t>
      </w:r>
      <w:r w:rsidR="00733695">
        <w:rPr>
          <w:rFonts w:ascii="Times New Roman" w:hAnsi="Times New Roman" w:cs="Times New Roman"/>
          <w:color w:val="000000" w:themeColor="text1"/>
          <w:shd w:val="clear" w:color="auto" w:fill="FFFFFF"/>
        </w:rPr>
        <w:t xml:space="preserve"> </w:t>
      </w:r>
      <w:r w:rsidR="00733695" w:rsidRPr="00B3074D">
        <w:rPr>
          <w:rFonts w:ascii="Times New Roman" w:hAnsi="Times New Roman" w:cs="Times New Roman"/>
          <w:color w:val="000000" w:themeColor="text1"/>
          <w:shd w:val="clear" w:color="auto" w:fill="FFFFFF"/>
        </w:rPr>
        <w:lastRenderedPageBreak/>
        <w:t>soil</w:t>
      </w:r>
      <w:r w:rsidR="00733695">
        <w:rPr>
          <w:rFonts w:ascii="Times New Roman" w:hAnsi="Times New Roman" w:cs="Times New Roman"/>
          <w:color w:val="000000" w:themeColor="text1"/>
          <w:shd w:val="clear" w:color="auto" w:fill="FFFFFF"/>
        </w:rPr>
        <w:t xml:space="preserve"> function</w:t>
      </w:r>
      <w:r w:rsidR="00733695" w:rsidRPr="00B3074D">
        <w:rPr>
          <w:rFonts w:ascii="Times New Roman" w:hAnsi="Times New Roman" w:cs="Times New Roman"/>
          <w:color w:val="000000" w:themeColor="text1"/>
          <w:shd w:val="clear" w:color="auto" w:fill="FFFFFF"/>
        </w:rPr>
        <w:t xml:space="preserve"> in</w:t>
      </w:r>
      <w:r w:rsidR="00733695">
        <w:rPr>
          <w:rFonts w:ascii="Times New Roman" w:hAnsi="Times New Roman" w:cs="Times New Roman"/>
          <w:color w:val="000000" w:themeColor="text1"/>
          <w:shd w:val="clear" w:color="auto" w:fill="FFFFFF"/>
        </w:rPr>
        <w:t xml:space="preserve"> traditionally managed</w:t>
      </w:r>
      <w:r w:rsidR="00733695" w:rsidRPr="00B3074D">
        <w:rPr>
          <w:rFonts w:ascii="Times New Roman" w:hAnsi="Times New Roman" w:cs="Times New Roman"/>
          <w:color w:val="000000" w:themeColor="text1"/>
          <w:shd w:val="clear" w:color="auto" w:fill="FFFFFF"/>
        </w:rPr>
        <w:t xml:space="preserve"> agroecosystems is </w:t>
      </w:r>
      <w:r w:rsidR="00733695">
        <w:rPr>
          <w:rFonts w:ascii="Times New Roman" w:hAnsi="Times New Roman" w:cs="Times New Roman"/>
          <w:color w:val="000000" w:themeColor="text1"/>
          <w:shd w:val="clear" w:color="auto" w:fill="FFFFFF"/>
        </w:rPr>
        <w:t>largely</w:t>
      </w:r>
      <w:r w:rsidR="00733695" w:rsidRPr="00B3074D">
        <w:rPr>
          <w:rFonts w:ascii="Times New Roman" w:hAnsi="Times New Roman" w:cs="Times New Roman"/>
          <w:color w:val="000000" w:themeColor="text1"/>
          <w:shd w:val="clear" w:color="auto" w:fill="FFFFFF"/>
        </w:rPr>
        <w:t xml:space="preserve"> resistant and resilient to herbicide application.</w:t>
      </w:r>
      <w:r w:rsidR="00733695">
        <w:rPr>
          <w:rFonts w:ascii="Times New Roman" w:hAnsi="Times New Roman" w:cs="Times New Roman"/>
          <w:color w:val="000000" w:themeColor="text1"/>
          <w:shd w:val="clear" w:color="auto" w:fill="FFFFFF"/>
        </w:rPr>
        <w:t xml:space="preserve"> </w:t>
      </w:r>
      <w:r w:rsidR="009B3670">
        <w:rPr>
          <w:rFonts w:ascii="Times New Roman" w:hAnsi="Times New Roman" w:cs="Times New Roman"/>
          <w:color w:val="000000" w:themeColor="text1"/>
          <w:shd w:val="clear" w:color="auto" w:fill="FFFFFF"/>
        </w:rPr>
        <w:t>Factor affecting</w:t>
      </w:r>
      <w:r w:rsidR="00733695">
        <w:rPr>
          <w:rFonts w:ascii="Times New Roman" w:hAnsi="Times New Roman" w:cs="Times New Roman"/>
          <w:color w:val="000000" w:themeColor="text1"/>
          <w:shd w:val="clear" w:color="auto" w:fill="FFFFFF"/>
        </w:rPr>
        <w:t xml:space="preserve"> bacterial</w:t>
      </w:r>
      <w:r w:rsidR="00455E94">
        <w:rPr>
          <w:rFonts w:ascii="Times New Roman" w:hAnsi="Times New Roman" w:cs="Times New Roman"/>
          <w:color w:val="000000" w:themeColor="text1"/>
          <w:shd w:val="clear" w:color="auto" w:fill="FFFFFF"/>
        </w:rPr>
        <w:t xml:space="preserve"> and fungal</w:t>
      </w:r>
      <w:r w:rsidR="00733695">
        <w:rPr>
          <w:rFonts w:ascii="Times New Roman" w:hAnsi="Times New Roman" w:cs="Times New Roman"/>
          <w:color w:val="000000" w:themeColor="text1"/>
          <w:shd w:val="clear" w:color="auto" w:fill="FFFFFF"/>
        </w:rPr>
        <w:t xml:space="preserve"> </w:t>
      </w:r>
      <w:r w:rsidR="009B3670">
        <w:rPr>
          <w:rFonts w:ascii="Times New Roman" w:hAnsi="Times New Roman" w:cs="Times New Roman"/>
          <w:color w:val="000000" w:themeColor="text1"/>
          <w:shd w:val="clear" w:color="auto" w:fill="FFFFFF"/>
        </w:rPr>
        <w:t xml:space="preserve">diversity </w:t>
      </w:r>
      <w:r w:rsidR="00455E94">
        <w:rPr>
          <w:rFonts w:ascii="Times New Roman" w:hAnsi="Times New Roman" w:cs="Times New Roman"/>
          <w:color w:val="000000" w:themeColor="text1"/>
          <w:shd w:val="clear" w:color="auto" w:fill="FFFFFF"/>
        </w:rPr>
        <w:t>differed</w:t>
      </w:r>
      <w:r w:rsidR="00733695">
        <w:rPr>
          <w:rFonts w:ascii="Times New Roman" w:hAnsi="Times New Roman" w:cs="Times New Roman"/>
          <w:color w:val="000000" w:themeColor="text1"/>
          <w:shd w:val="clear" w:color="auto" w:fill="FFFFFF"/>
        </w:rPr>
        <w:t xml:space="preserve">, </w:t>
      </w:r>
      <w:r w:rsidR="00455E94">
        <w:rPr>
          <w:rFonts w:ascii="Times New Roman" w:hAnsi="Times New Roman" w:cs="Times New Roman"/>
          <w:color w:val="000000" w:themeColor="text1"/>
          <w:shd w:val="clear" w:color="auto" w:fill="FFFFFF"/>
        </w:rPr>
        <w:t xml:space="preserve">with bacteria showing </w:t>
      </w:r>
      <w:r w:rsidR="009B3670">
        <w:rPr>
          <w:rFonts w:ascii="Times New Roman" w:hAnsi="Times New Roman" w:cs="Times New Roman"/>
          <w:color w:val="000000" w:themeColor="text1"/>
          <w:shd w:val="clear" w:color="auto" w:fill="FFFFFF"/>
        </w:rPr>
        <w:t>a significant effect of</w:t>
      </w:r>
      <w:r w:rsidR="00B92C04">
        <w:rPr>
          <w:rFonts w:ascii="Times New Roman" w:hAnsi="Times New Roman" w:cs="Times New Roman"/>
          <w:color w:val="000000" w:themeColor="text1"/>
          <w:shd w:val="clear" w:color="auto" w:fill="FFFFFF"/>
        </w:rPr>
        <w:t xml:space="preserve"> weed removal</w:t>
      </w:r>
      <w:r w:rsidR="00455E94">
        <w:rPr>
          <w:rFonts w:ascii="Times New Roman" w:hAnsi="Times New Roman" w:cs="Times New Roman"/>
          <w:color w:val="000000" w:themeColor="text1"/>
          <w:shd w:val="clear" w:color="auto" w:fill="FFFFFF"/>
        </w:rPr>
        <w:t xml:space="preserve"> treatment and fungi</w:t>
      </w:r>
      <w:r w:rsidR="00B92C04">
        <w:rPr>
          <w:rFonts w:ascii="Times New Roman" w:hAnsi="Times New Roman" w:cs="Times New Roman"/>
          <w:color w:val="000000" w:themeColor="text1"/>
          <w:shd w:val="clear" w:color="auto" w:fill="FFFFFF"/>
        </w:rPr>
        <w:t xml:space="preserve"> </w:t>
      </w:r>
      <w:r w:rsidR="00455E94">
        <w:rPr>
          <w:rFonts w:ascii="Times New Roman" w:hAnsi="Times New Roman" w:cs="Times New Roman"/>
          <w:color w:val="000000" w:themeColor="text1"/>
          <w:shd w:val="clear" w:color="auto" w:fill="FFFFFF"/>
        </w:rPr>
        <w:t xml:space="preserve">showing a response to total weedy vegetation </w:t>
      </w:r>
      <w:r w:rsidR="009B3670">
        <w:rPr>
          <w:rFonts w:ascii="Times New Roman" w:hAnsi="Times New Roman" w:cs="Times New Roman"/>
          <w:color w:val="000000" w:themeColor="text1"/>
          <w:shd w:val="clear" w:color="auto" w:fill="FFFFFF"/>
        </w:rPr>
        <w:t>as well as a</w:t>
      </w:r>
      <w:r w:rsidR="00455E94">
        <w:rPr>
          <w:rFonts w:ascii="Times New Roman" w:hAnsi="Times New Roman" w:cs="Times New Roman"/>
          <w:color w:val="000000" w:themeColor="text1"/>
          <w:shd w:val="clear" w:color="auto" w:fill="FFFFFF"/>
        </w:rPr>
        <w:t xml:space="preserve"> temporal effect</w:t>
      </w:r>
      <w:r w:rsidR="00733695">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We show that the examined edaphic parameters and most enzyme activities, other than PHOS, were not different among treatments at sampling time one (pre-treatment), suggesting that our initial conditions were similar across plots and that any observed differences at sampling times two and three are a result of herbicide application and/or changes in weedy vegetation</w:t>
      </w:r>
      <w:r w:rsidR="009B3670">
        <w:rPr>
          <w:rFonts w:ascii="Times New Roman" w:hAnsi="Times New Roman" w:cs="Times New Roman"/>
          <w:color w:val="000000" w:themeColor="text1"/>
          <w:shd w:val="clear" w:color="auto" w:fill="FFFFFF"/>
        </w:rPr>
        <w:t xml:space="preserve">, with the </w:t>
      </w:r>
      <w:r w:rsidRPr="00B3074D">
        <w:rPr>
          <w:rFonts w:ascii="Times New Roman" w:hAnsi="Times New Roman" w:cs="Times New Roman"/>
          <w:color w:val="000000" w:themeColor="text1"/>
          <w:shd w:val="clear" w:color="auto" w:fill="FFFFFF"/>
        </w:rPr>
        <w:t xml:space="preserve">latter </w:t>
      </w:r>
      <w:r w:rsidR="009B3670">
        <w:rPr>
          <w:rFonts w:ascii="Times New Roman" w:hAnsi="Times New Roman" w:cs="Times New Roman"/>
          <w:color w:val="000000" w:themeColor="text1"/>
          <w:shd w:val="clear" w:color="auto" w:fill="FFFFFF"/>
        </w:rPr>
        <w:t>finding</w:t>
      </w:r>
      <w:r w:rsidRPr="00B3074D">
        <w:rPr>
          <w:rFonts w:ascii="Times New Roman" w:hAnsi="Times New Roman" w:cs="Times New Roman"/>
          <w:color w:val="000000" w:themeColor="text1"/>
          <w:shd w:val="clear" w:color="auto" w:fill="FFFFFF"/>
        </w:rPr>
        <w:t xml:space="preserve"> more support. With this, it appears that the act of killing vegetation, instead of the direct effects of herbicide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Ecology","id":"ITEM-1","issue":"1","issued":{"date-parts":[["2010"]]},"note":"From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plainTextFormattedCitation":"(19)","previouslyFormattedCitation":"(19)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(19)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may be the primary driver of </w:t>
      </w:r>
      <w:r w:rsidR="00455E94">
        <w:rPr>
          <w:rFonts w:ascii="Times New Roman" w:hAnsi="Times New Roman" w:cs="Times New Roman"/>
          <w:color w:val="000000" w:themeColor="text1"/>
          <w:shd w:val="clear" w:color="auto" w:fill="FFFFFF"/>
        </w:rPr>
        <w:t>microbiome</w:t>
      </w:r>
      <w:r w:rsidRPr="00B3074D">
        <w:rPr>
          <w:rFonts w:ascii="Times New Roman" w:hAnsi="Times New Roman" w:cs="Times New Roman"/>
          <w:color w:val="000000" w:themeColor="text1"/>
          <w:shd w:val="clear" w:color="auto" w:fill="FFFFFF"/>
        </w:rPr>
        <w:t xml:space="preserve"> shifts in agroecosystems. </w:t>
      </w:r>
      <w:r w:rsidR="00733695">
        <w:rPr>
          <w:rFonts w:ascii="Times New Roman" w:hAnsi="Times New Roman" w:cs="Times New Roman"/>
          <w:color w:val="000000" w:themeColor="text1"/>
          <w:shd w:val="clear" w:color="auto" w:fill="FFFFFF"/>
        </w:rPr>
        <w:t>Additionally, convergence of dissimilarity in bacterial assemblages following chemical herbicide applications suggests that, regardless of herbicide type, chemical intervention homogenizes the bacterial compartment in soil</w:t>
      </w:r>
      <w:r w:rsidR="009B3670">
        <w:rPr>
          <w:rFonts w:ascii="Times New Roman" w:hAnsi="Times New Roman" w:cs="Times New Roman"/>
          <w:color w:val="000000" w:themeColor="text1"/>
          <w:shd w:val="clear" w:color="auto" w:fill="FFFFFF"/>
        </w:rPr>
        <w:t xml:space="preserve"> and results </w:t>
      </w:r>
      <w:r w:rsidR="00455E94">
        <w:rPr>
          <w:rFonts w:ascii="Times New Roman" w:hAnsi="Times New Roman" w:cs="Times New Roman"/>
          <w:color w:val="000000" w:themeColor="text1"/>
          <w:shd w:val="clear" w:color="auto" w:fill="FFFFFF"/>
        </w:rPr>
        <w:t>in a single “chemically disturbed” assemblage type</w:t>
      </w:r>
      <w:r w:rsidR="009B3670">
        <w:rPr>
          <w:rFonts w:ascii="Times New Roman" w:hAnsi="Times New Roman" w:cs="Times New Roman"/>
          <w:color w:val="000000" w:themeColor="text1"/>
          <w:shd w:val="clear" w:color="auto" w:fill="FFFFFF"/>
        </w:rPr>
        <w:t>, contrary to our initial hypothesis</w:t>
      </w:r>
      <w:r w:rsidR="00733695">
        <w:rPr>
          <w:rFonts w:ascii="Times New Roman" w:hAnsi="Times New Roman" w:cs="Times New Roman"/>
          <w:color w:val="000000" w:themeColor="text1"/>
          <w:shd w:val="clear" w:color="auto" w:fill="FFFFFF"/>
        </w:rPr>
        <w:t xml:space="preserve">. </w:t>
      </w:r>
    </w:p>
    <w:p w14:paraId="507F737E" w14:textId="37C1CF00"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By splitting our </w:t>
      </w:r>
      <w:r w:rsidR="00B92C04">
        <w:rPr>
          <w:rFonts w:ascii="Times New Roman" w:hAnsi="Times New Roman" w:cs="Times New Roman"/>
          <w:color w:val="000000" w:themeColor="text1"/>
          <w:shd w:val="clear" w:color="auto" w:fill="FFFFFF"/>
        </w:rPr>
        <w:t>enzymatic dataset</w:t>
      </w:r>
      <w:r w:rsidRPr="00B3074D">
        <w:rPr>
          <w:rFonts w:ascii="Times New Roman" w:hAnsi="Times New Roman" w:cs="Times New Roman"/>
          <w:color w:val="000000" w:themeColor="text1"/>
          <w:shd w:val="clear" w:color="auto" w:fill="FFFFFF"/>
        </w:rPr>
        <w:t xml:space="preserve"> by weed removal treatment, we examined the effect of time since treatment on edaphic parameters and </w:t>
      </w:r>
      <w:r w:rsidR="00B92C04">
        <w:rPr>
          <w:rFonts w:ascii="Times New Roman" w:hAnsi="Times New Roman" w:cs="Times New Roman"/>
          <w:color w:val="000000" w:themeColor="text1"/>
          <w:shd w:val="clear" w:color="auto" w:fill="FFFFFF"/>
        </w:rPr>
        <w:t>found changes in the</w:t>
      </w:r>
      <w:r w:rsidRPr="00B3074D">
        <w:rPr>
          <w:rFonts w:ascii="Times New Roman" w:hAnsi="Times New Roman" w:cs="Times New Roman"/>
          <w:color w:val="000000" w:themeColor="text1"/>
          <w:shd w:val="clear" w:color="auto" w:fill="FFFFFF"/>
        </w:rPr>
        <w:t xml:space="preserve"> concentrations of nutrients like ammonium, phosphate, nitrate, </w:t>
      </w:r>
      <w:proofErr w:type="gramStart"/>
      <w:r w:rsidRPr="00B3074D">
        <w:rPr>
          <w:rFonts w:ascii="Times New Roman" w:hAnsi="Times New Roman" w:cs="Times New Roman"/>
          <w:color w:val="000000" w:themeColor="text1"/>
          <w:shd w:val="clear" w:color="auto" w:fill="FFFFFF"/>
        </w:rPr>
        <w:t>magnesium</w:t>
      </w:r>
      <w:proofErr w:type="gramEnd"/>
      <w:r w:rsidRPr="00B3074D">
        <w:rPr>
          <w:rFonts w:ascii="Times New Roman" w:hAnsi="Times New Roman" w:cs="Times New Roman"/>
          <w:color w:val="000000" w:themeColor="text1"/>
          <w:shd w:val="clear" w:color="auto" w:fill="FFFFFF"/>
        </w:rPr>
        <w:t xml:space="preserve"> and calcium</w:t>
      </w:r>
      <w:r w:rsidR="00B92C04">
        <w:rPr>
          <w:rFonts w:ascii="Times New Roman" w:hAnsi="Times New Roman" w:cs="Times New Roman"/>
          <w:color w:val="000000" w:themeColor="text1"/>
          <w:shd w:val="clear" w:color="auto" w:fill="FFFFFF"/>
        </w:rPr>
        <w:t>. However,</w:t>
      </w:r>
      <w:r w:rsidRPr="00B3074D">
        <w:rPr>
          <w:rFonts w:ascii="Times New Roman" w:hAnsi="Times New Roman" w:cs="Times New Roman"/>
          <w:color w:val="000000" w:themeColor="text1"/>
          <w:shd w:val="clear" w:color="auto" w:fill="FFFFFF"/>
        </w:rPr>
        <w:t xml:space="preserve"> </w:t>
      </w:r>
      <w:r w:rsidR="00B92C04">
        <w:rPr>
          <w:rFonts w:ascii="Times New Roman" w:hAnsi="Times New Roman" w:cs="Times New Roman"/>
          <w:color w:val="000000" w:themeColor="text1"/>
          <w:shd w:val="clear" w:color="auto" w:fill="FFFFFF"/>
        </w:rPr>
        <w:t>these shifts</w:t>
      </w:r>
      <w:r w:rsidRPr="00B3074D">
        <w:rPr>
          <w:rFonts w:ascii="Times New Roman" w:hAnsi="Times New Roman" w:cs="Times New Roman"/>
          <w:color w:val="000000" w:themeColor="text1"/>
          <w:shd w:val="clear" w:color="auto" w:fill="FFFFFF"/>
        </w:rPr>
        <w:t xml:space="preserve"> were correlated with </w:t>
      </w:r>
      <w:r w:rsidR="00B92C04">
        <w:rPr>
          <w:rFonts w:ascii="Times New Roman" w:hAnsi="Times New Roman" w:cs="Times New Roman"/>
          <w:color w:val="000000" w:themeColor="text1"/>
          <w:shd w:val="clear" w:color="auto" w:fill="FFFFFF"/>
        </w:rPr>
        <w:t xml:space="preserve">total </w:t>
      </w:r>
      <w:r w:rsidRPr="00B3074D">
        <w:rPr>
          <w:rFonts w:ascii="Times New Roman" w:hAnsi="Times New Roman" w:cs="Times New Roman"/>
          <w:color w:val="000000" w:themeColor="text1"/>
          <w:shd w:val="clear" w:color="auto" w:fill="FFFFFF"/>
        </w:rPr>
        <w:t xml:space="preserve">weedy vegetation cover. </w:t>
      </w:r>
      <w:r w:rsidR="00B92C04">
        <w:rPr>
          <w:rFonts w:ascii="Times New Roman" w:hAnsi="Times New Roman" w:cs="Times New Roman"/>
          <w:color w:val="000000" w:themeColor="text1"/>
          <w:shd w:val="clear" w:color="auto" w:fill="FFFFFF"/>
        </w:rPr>
        <w:t xml:space="preserve">We hypothesize </w:t>
      </w:r>
      <w:r w:rsidRPr="00B3074D">
        <w:rPr>
          <w:rFonts w:ascii="Times New Roman" w:hAnsi="Times New Roman" w:cs="Times New Roman"/>
          <w:color w:val="000000" w:themeColor="text1"/>
          <w:shd w:val="clear" w:color="auto" w:fill="FFFFFF"/>
        </w:rPr>
        <w:t>that competition for nutrients</w:t>
      </w:r>
      <w:r w:rsidR="00B92C0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among plants and microbes</w:t>
      </w:r>
      <w:r w:rsidR="00B92C0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is driving the observed decreases as opposed to </w:t>
      </w:r>
      <w:r w:rsidR="009B3670">
        <w:rPr>
          <w:rFonts w:ascii="Times New Roman" w:hAnsi="Times New Roman" w:cs="Times New Roman"/>
          <w:color w:val="000000" w:themeColor="text1"/>
          <w:shd w:val="clear" w:color="auto" w:fill="FFFFFF"/>
        </w:rPr>
        <w:t xml:space="preserve">a direct effect of </w:t>
      </w:r>
      <w:r w:rsidRPr="00B3074D">
        <w:rPr>
          <w:rFonts w:ascii="Times New Roman" w:hAnsi="Times New Roman" w:cs="Times New Roman"/>
          <w:color w:val="000000" w:themeColor="text1"/>
          <w:shd w:val="clear" w:color="auto" w:fill="FFFFFF"/>
        </w:rPr>
        <w:t xml:space="preserve">herbicide. </w:t>
      </w:r>
      <w:r w:rsidR="009B3670">
        <w:rPr>
          <w:rFonts w:ascii="Times New Roman" w:hAnsi="Times New Roman" w:cs="Times New Roman"/>
          <w:color w:val="000000" w:themeColor="text1"/>
          <w:shd w:val="clear" w:color="auto" w:fill="FFFFFF"/>
        </w:rPr>
        <w:t>A</w:t>
      </w:r>
      <w:r w:rsidRPr="00B3074D">
        <w:rPr>
          <w:rFonts w:ascii="Times New Roman" w:hAnsi="Times New Roman" w:cs="Times New Roman"/>
          <w:color w:val="000000" w:themeColor="text1"/>
          <w:shd w:val="clear" w:color="auto" w:fill="FFFFFF"/>
        </w:rPr>
        <w:t xml:space="preserve">s the trend of increased extractable phosphate was observed in all </w:t>
      </w:r>
      <w:r w:rsidR="00B92C04" w:rsidRPr="00B3074D">
        <w:rPr>
          <w:rFonts w:ascii="Times New Roman" w:hAnsi="Times New Roman" w:cs="Times New Roman"/>
          <w:color w:val="000000" w:themeColor="text1"/>
          <w:shd w:val="clear" w:color="auto" w:fill="FFFFFF"/>
        </w:rPr>
        <w:t>treat</w:t>
      </w:r>
      <w:r w:rsidR="00B92C04">
        <w:rPr>
          <w:rFonts w:ascii="Times New Roman" w:hAnsi="Times New Roman" w:cs="Times New Roman"/>
          <w:color w:val="000000" w:themeColor="text1"/>
          <w:shd w:val="clear" w:color="auto" w:fill="FFFFFF"/>
        </w:rPr>
        <w:t>ed plots (</w:t>
      </w:r>
      <w:r w:rsidR="009B3670">
        <w:rPr>
          <w:rFonts w:ascii="Times New Roman" w:hAnsi="Times New Roman" w:cs="Times New Roman"/>
          <w:color w:val="000000" w:themeColor="text1"/>
          <w:shd w:val="clear" w:color="auto" w:fill="FFFFFF"/>
        </w:rPr>
        <w:t xml:space="preserve">i.e., </w:t>
      </w:r>
      <w:r w:rsidR="002F4D3B">
        <w:rPr>
          <w:rFonts w:ascii="Times New Roman" w:hAnsi="Times New Roman" w:cs="Times New Roman"/>
          <w:color w:val="000000" w:themeColor="text1"/>
          <w:shd w:val="clear" w:color="auto" w:fill="FFFFFF"/>
        </w:rPr>
        <w:t>nont</w:t>
      </w:r>
      <w:r w:rsidR="00B92C04">
        <w:rPr>
          <w:rFonts w:ascii="Times New Roman" w:hAnsi="Times New Roman" w:cs="Times New Roman"/>
          <w:color w:val="000000" w:themeColor="text1"/>
          <w:shd w:val="clear" w:color="auto" w:fill="FFFFFF"/>
        </w:rPr>
        <w:t>reated controls</w:t>
      </w:r>
      <w:r w:rsidR="009B3670">
        <w:rPr>
          <w:rFonts w:ascii="Times New Roman" w:hAnsi="Times New Roman" w:cs="Times New Roman"/>
          <w:color w:val="000000" w:themeColor="text1"/>
          <w:shd w:val="clear" w:color="auto" w:fill="FFFFFF"/>
        </w:rPr>
        <w:t xml:space="preserve"> excluded</w:t>
      </w:r>
      <w:r w:rsidR="00B92C0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we suggest that the effects of herbicide treatment are indirectly mediated through increased litter inputs</w:t>
      </w:r>
      <w:r w:rsidR="009B3670">
        <w:rPr>
          <w:rFonts w:ascii="Times New Roman" w:hAnsi="Times New Roman" w:cs="Times New Roman"/>
          <w:color w:val="000000" w:themeColor="text1"/>
          <w:shd w:val="clear" w:color="auto" w:fill="FFFFFF"/>
        </w:rPr>
        <w:t xml:space="preserve">, instead of a sign of organophosphate degradation, as would be the case in the Roundup </w:t>
      </w:r>
      <w:proofErr w:type="spellStart"/>
      <w:r w:rsidR="009B3670">
        <w:rPr>
          <w:rFonts w:ascii="Times New Roman" w:hAnsi="Times New Roman" w:cs="Times New Roman"/>
          <w:color w:val="000000" w:themeColor="text1"/>
          <w:shd w:val="clear" w:color="auto" w:fill="FFFFFF"/>
        </w:rPr>
        <w:t>Powermax</w:t>
      </w:r>
      <w:proofErr w:type="spellEnd"/>
      <w:r w:rsidR="009B3670">
        <w:rPr>
          <w:rFonts w:ascii="Times New Roman" w:hAnsi="Times New Roman" w:cs="Times New Roman"/>
          <w:color w:val="000000" w:themeColor="text1"/>
          <w:shd w:val="clear" w:color="auto" w:fill="FFFFFF"/>
        </w:rPr>
        <w:t xml:space="preserve"> treated plots </w:t>
      </w:r>
      <w:r w:rsidR="009B3670"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{"citationItems":[{"id":"ITEM-1","itemData":{"DOI":"10.1080/15320383.2011.594110","ISSN":"15320383","abstract":"The heavy use of organophosphorus pesticides in northeastern China strongly affects the ecological functions and the quality of the soil environment. In this work, a 30-day soil incubation experiment was conducted to evaluate the potential of using soil available P and the activities of soil dehydrogenase and acid phosphatase as indicators of the application of methamidophos and glyphosate. Two kinds of unpolluted soils, phaiozem and burozem, were selected as the test soils. The higher application rate of organophosphorus pesticide to the two soils caused more release of PO 43- which finally entered the soil available P pool, suggesting that soil available P is one of the effective chemical markers for biodegradation of organophosphorus pesticides. Methamidophos exhibited a significant inhibitory effect on the activity of soil dehydrogenase. The extent of enzyme inhibition was almost positively correlated with the insecticide concentration, and the enzyme activity was gradually restored after day 15. However, its effect on soil acid phosphatase activity (stimulation or inhibition) seemed to be indefinite, and varied with the application rate, soil type, and incubation time. In the case of glyphosate, soil acid phosphatase activity was depressed significantly and the depressing extent could be a function of herbicide concentration and incubation time, but soil dehydrogenase activity showed an irregular variation with the herbicide application rate and soil type. In general, dehydrogenase activity was a good biochemical indicator for the biodegradation of methamidophos, but for glyphosate biodegradation the indicator was acid phosphatase activity. © Taylor &amp; Francis Group, LLC.","author":[{"dropping-particle":"","family":"Yu","given":"Ying","non-dropping-particle":"","parse-names":false,"suffix":""},{"dropping-particle":"","family":"Zhang","given":"Haijun","non-dropping-particle":"","parse-names":false,"suffix":""},{"dropping-particle":"","family":"Zhou","given":"Qixing","non-dropping-particle":"","parse-names":false,"suffix":""}],"container-title":"Soil and Sediment Contamination","id":"ITEM-1","issue":"6","issued":{"date-parts":[["2011","8"]]},"page":"688-701","title":"Using soil available P and activities of soil dehydrogenase and phosphatase as indicators for biodegradation of organophosphorus pesticide methamidophos and glyphosate","type":"article-journal","volume":"20"},"uris":["http://www.mendeley.com/documents/?uuid=e0d5247c-7b22-46d2-ae1a-b0e76a4ddc19"]}],"mendeley":{"formattedCitation":"(44)","plainTextFormattedCitation":"(44)","previouslyFormattedCitation":"(45)"},"properties":{"noteIndex":0},"schema":"https://github.com/citation-style-language/schema/raw/master/csl-citation.json"}</w:instrText>
      </w:r>
      <w:r w:rsidR="009B3670"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(44)</w:t>
      </w:r>
      <w:r w:rsidR="009B3670"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r w:rsidRPr="00B3074D">
        <w:rPr>
          <w:rStyle w:val="CommentReference"/>
          <w:rFonts w:ascii="Times New Roman" w:hAnsi="Times New Roman" w:cs="Times New Roman"/>
          <w:sz w:val="24"/>
          <w:szCs w:val="24"/>
        </w:rPr>
        <w:t xml:space="preserve"> </w:t>
      </w:r>
      <w:r w:rsidRPr="00B3074D">
        <w:rPr>
          <w:rFonts w:ascii="Times New Roman" w:hAnsi="Times New Roman" w:cs="Times New Roman"/>
          <w:color w:val="000000" w:themeColor="text1"/>
          <w:shd w:val="clear" w:color="auto" w:fill="FFFFFF"/>
        </w:rPr>
        <w:t>For example</w:t>
      </w:r>
      <w:r w:rsidR="00B92C04">
        <w:rPr>
          <w:rFonts w:ascii="Times New Roman" w:hAnsi="Times New Roman" w:cs="Times New Roman"/>
          <w:color w:val="000000" w:themeColor="text1"/>
          <w:shd w:val="clear" w:color="auto" w:fill="FFFFFF"/>
        </w:rPr>
        <w:t>, d</w:t>
      </w:r>
      <w:r w:rsidRPr="00B3074D">
        <w:rPr>
          <w:rFonts w:ascii="Times New Roman" w:hAnsi="Times New Roman" w:cs="Times New Roman"/>
          <w:color w:val="000000" w:themeColor="text1"/>
          <w:shd w:val="clear" w:color="auto" w:fill="FFFFFF"/>
        </w:rPr>
        <w:t xml:space="preserve">uring initial </w:t>
      </w:r>
      <w:r w:rsidRPr="00B3074D">
        <w:rPr>
          <w:rFonts w:ascii="Times New Roman" w:hAnsi="Times New Roman" w:cs="Times New Roman"/>
          <w:color w:val="000000" w:themeColor="text1"/>
          <w:shd w:val="clear" w:color="auto" w:fill="FFFFFF"/>
        </w:rPr>
        <w:lastRenderedPageBreak/>
        <w:t xml:space="preserve">stages of decomposition, soluble organic carbon can be carried by moisture pulses from irrigation into the soil profile and would feed microbial activity, potentially explaining the increase in activity we observed at </w:t>
      </w:r>
      <w:r w:rsidR="009B3670">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 xml:space="preserve">time two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10.1007/978-3-642-38821-7","ISBN":"978-3-642-38820-0","author":[{"dropping-particle":"","family":"Berg","given":"Björn","non-dropping-particle":"","parse-names":false,"suffix":""},{"dropping-particle":"","family":"McClaugherty","given":"Charles","non-dropping-particle":"","parse-names":false,"suffix":""}],"container-title":"Carbon","id":"ITEM-1","issued":{"date-parts":[["2014"]]},"publisher":"Springer Berlin Heidelberg","publisher-place":"Berlin, Heidelberg","title":"Plant Litter","type":"book"},"uris":["http://www.mendeley.com/documents/?uuid=0772f171-55ef-499b-b9a9-ee0ab0c75d41"]}],"mendeley":{"formattedCitation":"(45)","plainTextFormattedCitation":"(45)","previouslyFormattedCitation":"(46)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(45)</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p>
    <w:p w14:paraId="7E855D0C" w14:textId="27E33731" w:rsidR="00B92C04" w:rsidRPr="00B92C04" w:rsidRDefault="00B92C04" w:rsidP="00B3074D">
      <w:pPr>
        <w:spacing w:line="480" w:lineRule="auto"/>
        <w:ind w:firstLine="720"/>
        <w:rPr>
          <w:rFonts w:ascii="Times New Roman" w:hAnsi="Times New Roman" w:cs="Times New Roman"/>
          <w:b/>
          <w:bCs/>
          <w:color w:val="000000" w:themeColor="text1"/>
          <w:shd w:val="clear" w:color="auto" w:fill="FFFFFF"/>
        </w:rPr>
      </w:pPr>
      <w:r>
        <w:rPr>
          <w:rFonts w:ascii="Times New Roman" w:hAnsi="Times New Roman" w:cs="Times New Roman"/>
          <w:color w:val="000000" w:themeColor="text1"/>
          <w:shd w:val="clear" w:color="auto" w:fill="FFFFFF"/>
        </w:rPr>
        <w:t>Previous</w:t>
      </w:r>
      <w:r w:rsidR="009B3670">
        <w:rPr>
          <w:rFonts w:ascii="Times New Roman" w:hAnsi="Times New Roman" w:cs="Times New Roman"/>
          <w:color w:val="000000" w:themeColor="text1"/>
          <w:shd w:val="clear" w:color="auto" w:fill="FFFFFF"/>
        </w:rPr>
        <w:t xml:space="preserve"> work has </w:t>
      </w:r>
      <w:r>
        <w:rPr>
          <w:rFonts w:ascii="Times New Roman" w:hAnsi="Times New Roman" w:cs="Times New Roman"/>
          <w:color w:val="000000" w:themeColor="text1"/>
          <w:shd w:val="clear" w:color="auto" w:fill="FFFFFF"/>
        </w:rPr>
        <w:t xml:space="preserve"> </w:t>
      </w:r>
      <w:r w:rsidR="00B3074D" w:rsidRPr="00B3074D">
        <w:rPr>
          <w:rFonts w:ascii="Times New Roman" w:hAnsi="Times New Roman" w:cs="Times New Roman"/>
          <w:color w:val="000000" w:themeColor="text1"/>
          <w:shd w:val="clear" w:color="auto" w:fill="FFFFFF"/>
        </w:rPr>
        <w:t>examined the effects of glyphosate on soil N</w:t>
      </w:r>
      <w:r>
        <w:rPr>
          <w:rFonts w:ascii="Times New Roman" w:hAnsi="Times New Roman" w:cs="Times New Roman"/>
          <w:color w:val="000000" w:themeColor="text1"/>
          <w:shd w:val="clear" w:color="auto" w:fill="FFFFFF"/>
        </w:rPr>
        <w:t xml:space="preserve"> and </w:t>
      </w:r>
      <w:r w:rsidR="00B3074D" w:rsidRPr="00B3074D">
        <w:rPr>
          <w:rFonts w:ascii="Times New Roman" w:hAnsi="Times New Roman" w:cs="Times New Roman"/>
          <w:color w:val="000000" w:themeColor="text1"/>
          <w:shd w:val="clear" w:color="auto" w:fill="FFFFFF"/>
        </w:rPr>
        <w:t>showed no difference in inorganic N between vegetation</w:t>
      </w:r>
      <w:r>
        <w:rPr>
          <w:rFonts w:ascii="Times New Roman" w:hAnsi="Times New Roman" w:cs="Times New Roman"/>
          <w:color w:val="000000" w:themeColor="text1"/>
          <w:shd w:val="clear" w:color="auto" w:fill="FFFFFF"/>
        </w:rPr>
        <w:t xml:space="preserve"> removal</w:t>
      </w:r>
      <w:r w:rsidR="00B3074D" w:rsidRPr="00B3074D">
        <w:rPr>
          <w:rFonts w:ascii="Times New Roman" w:hAnsi="Times New Roman" w:cs="Times New Roman"/>
          <w:color w:val="000000" w:themeColor="text1"/>
          <w:shd w:val="clear" w:color="auto" w:fill="FFFFFF"/>
        </w:rPr>
        <w:t xml:space="preserve"> plots (</w:t>
      </w:r>
      <w:r>
        <w:rPr>
          <w:rFonts w:ascii="Times New Roman" w:hAnsi="Times New Roman" w:cs="Times New Roman"/>
          <w:color w:val="000000" w:themeColor="text1"/>
          <w:shd w:val="clear" w:color="auto" w:fill="FFFFFF"/>
        </w:rPr>
        <w:t xml:space="preserve">e.g., </w:t>
      </w:r>
      <w:r w:rsidR="00B3074D" w:rsidRPr="00B3074D">
        <w:rPr>
          <w:rFonts w:ascii="Times New Roman" w:hAnsi="Times New Roman" w:cs="Times New Roman"/>
          <w:color w:val="000000" w:themeColor="text1"/>
          <w:shd w:val="clear" w:color="auto" w:fill="FFFFFF"/>
        </w:rPr>
        <w:t>handweeded and Roundup) over twenty weeks</w:t>
      </w:r>
      <w:r w:rsidR="009B3670">
        <w:rPr>
          <w:rFonts w:ascii="Times New Roman" w:hAnsi="Times New Roman" w:cs="Times New Roman"/>
          <w:color w:val="000000" w:themeColor="text1"/>
          <w:shd w:val="clear" w:color="auto" w:fill="FFFFFF"/>
        </w:rPr>
        <w:t xml:space="preserve"> </w:t>
      </w:r>
      <w:bookmarkStart w:id="14" w:name="OLE_LINK5"/>
      <w:bookmarkStart w:id="15" w:name="OLE_LINK6"/>
      <w:r w:rsidR="009B3670" w:rsidRPr="00B3074D">
        <w:rPr>
          <w:rFonts w:ascii="Times New Roman" w:hAnsi="Times New Roman" w:cs="Times New Roman"/>
          <w:color w:val="000000" w:themeColor="text1"/>
          <w:shd w:val="clear" w:color="auto" w:fill="FFFFFF"/>
        </w:rPr>
        <w:fldChar w:fldCharType="begin" w:fldLock="1"/>
      </w:r>
      <w:r w:rsidR="009B3670">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009B3670" w:rsidRPr="00B3074D">
        <w:rPr>
          <w:rFonts w:ascii="Times New Roman" w:hAnsi="Times New Roman" w:cs="Times New Roman"/>
          <w:color w:val="000000" w:themeColor="text1"/>
          <w:shd w:val="clear" w:color="auto" w:fill="FFFFFF"/>
        </w:rPr>
        <w:fldChar w:fldCharType="separate"/>
      </w:r>
      <w:r w:rsidR="009B3670" w:rsidRPr="00B92C04">
        <w:rPr>
          <w:rFonts w:ascii="Times New Roman" w:hAnsi="Times New Roman" w:cs="Times New Roman"/>
          <w:noProof/>
          <w:color w:val="000000" w:themeColor="text1"/>
          <w:shd w:val="clear" w:color="auto" w:fill="FFFFFF"/>
        </w:rPr>
        <w:t>(26)</w:t>
      </w:r>
      <w:r w:rsidR="009B3670" w:rsidRPr="00B3074D">
        <w:rPr>
          <w:rFonts w:ascii="Times New Roman" w:hAnsi="Times New Roman" w:cs="Times New Roman"/>
          <w:color w:val="000000" w:themeColor="text1"/>
          <w:shd w:val="clear" w:color="auto" w:fill="FFFFFF"/>
        </w:rPr>
        <w:fldChar w:fldCharType="end"/>
      </w:r>
      <w:bookmarkEnd w:id="14"/>
      <w:bookmarkEnd w:id="15"/>
      <w:r w:rsidR="00B3074D" w:rsidRPr="00B3074D">
        <w:rPr>
          <w:rFonts w:ascii="Times New Roman" w:hAnsi="Times New Roman" w:cs="Times New Roman"/>
          <w:color w:val="000000" w:themeColor="text1"/>
          <w:shd w:val="clear" w:color="auto" w:fill="FFFFFF"/>
        </w:rPr>
        <w:t>. The</w:t>
      </w:r>
      <w:r w:rsidR="009B3670">
        <w:rPr>
          <w:rFonts w:ascii="Times New Roman" w:hAnsi="Times New Roman" w:cs="Times New Roman"/>
          <w:color w:val="000000" w:themeColor="text1"/>
          <w:shd w:val="clear" w:color="auto" w:fill="FFFFFF"/>
        </w:rPr>
        <w:t xml:space="preserve"> authors </w:t>
      </w:r>
      <w:r w:rsidR="00B3074D" w:rsidRPr="00B3074D">
        <w:rPr>
          <w:rFonts w:ascii="Times New Roman" w:hAnsi="Times New Roman" w:cs="Times New Roman"/>
          <w:color w:val="000000" w:themeColor="text1"/>
          <w:shd w:val="clear" w:color="auto" w:fill="FFFFFF"/>
        </w:rPr>
        <w:t>did however report significant differences between the handweeded plots and the nontreated plots</w:t>
      </w:r>
      <w:r w:rsidR="009B3670">
        <w:rPr>
          <w:rFonts w:ascii="Times New Roman" w:hAnsi="Times New Roman" w:cs="Times New Roman"/>
          <w:color w:val="000000" w:themeColor="text1"/>
          <w:shd w:val="clear" w:color="auto" w:fill="FFFFFF"/>
        </w:rPr>
        <w:t xml:space="preserve">, showing </w:t>
      </w:r>
      <w:r w:rsidR="00B3074D" w:rsidRPr="00B3074D">
        <w:rPr>
          <w:rFonts w:ascii="Times New Roman" w:hAnsi="Times New Roman" w:cs="Times New Roman"/>
          <w:color w:val="000000" w:themeColor="text1"/>
          <w:shd w:val="clear" w:color="auto" w:fill="FFFFFF"/>
        </w:rPr>
        <w:t>nitrate levels, as measured by resin ion exchange strips, to be higher in their handweeded plots as compared to the</w:t>
      </w:r>
      <w:r>
        <w:rPr>
          <w:rFonts w:ascii="Times New Roman" w:hAnsi="Times New Roman" w:cs="Times New Roman"/>
          <w:color w:val="000000" w:themeColor="text1"/>
          <w:shd w:val="clear" w:color="auto" w:fill="FFFFFF"/>
        </w:rPr>
        <w:t>ir</w:t>
      </w:r>
      <w:r w:rsidR="00B3074D" w:rsidRPr="00B3074D">
        <w:rPr>
          <w:rFonts w:ascii="Times New Roman" w:hAnsi="Times New Roman" w:cs="Times New Roman"/>
          <w:color w:val="000000" w:themeColor="text1"/>
          <w:shd w:val="clear" w:color="auto" w:fill="FFFFFF"/>
        </w:rPr>
        <w:t xml:space="preserve"> nontreated</w:t>
      </w:r>
      <w:r>
        <w:rPr>
          <w:rFonts w:ascii="Times New Roman" w:hAnsi="Times New Roman" w:cs="Times New Roman"/>
          <w:color w:val="000000" w:themeColor="text1"/>
          <w:shd w:val="clear" w:color="auto" w:fill="FFFFFF"/>
        </w:rPr>
        <w:t xml:space="preserve"> controls</w:t>
      </w:r>
      <w:r w:rsidR="00B3074D"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Conversely, o</w:t>
      </w:r>
      <w:r w:rsidR="00B3074D" w:rsidRPr="00B3074D">
        <w:rPr>
          <w:rFonts w:ascii="Times New Roman" w:hAnsi="Times New Roman" w:cs="Times New Roman"/>
          <w:color w:val="000000" w:themeColor="text1"/>
          <w:shd w:val="clear" w:color="auto" w:fill="FFFFFF"/>
        </w:rPr>
        <w:t>ur results showed nitrate levels to be lowest in our handweeded and nontreated plots, with concentrations being higher in our Roundup plots. While our results differ f</w:t>
      </w:r>
      <w:r>
        <w:rPr>
          <w:rFonts w:ascii="Times New Roman" w:hAnsi="Times New Roman" w:cs="Times New Roman"/>
          <w:color w:val="000000" w:themeColor="text1"/>
          <w:shd w:val="clear" w:color="auto" w:fill="FFFFFF"/>
        </w:rPr>
        <w:t>rom</w:t>
      </w:r>
      <w:r w:rsidR="00B3074D" w:rsidRPr="00B3074D">
        <w:rPr>
          <w:rFonts w:ascii="Times New Roman" w:hAnsi="Times New Roman" w:cs="Times New Roman"/>
          <w:color w:val="000000" w:themeColor="text1"/>
          <w:shd w:val="clear" w:color="auto" w:fill="FFFFFF"/>
        </w:rPr>
        <w:t xml:space="preserve"> </w:t>
      </w:r>
      <w:proofErr w:type="spellStart"/>
      <w:r w:rsidR="00B3074D" w:rsidRPr="00B3074D">
        <w:rPr>
          <w:rFonts w:ascii="Times New Roman" w:hAnsi="Times New Roman" w:cs="Times New Roman"/>
          <w:color w:val="000000" w:themeColor="text1"/>
          <w:shd w:val="clear" w:color="auto" w:fill="FFFFFF"/>
        </w:rPr>
        <w:t>Hagner</w:t>
      </w:r>
      <w:proofErr w:type="spellEnd"/>
      <w:r w:rsidR="00B3074D" w:rsidRPr="00B3074D">
        <w:rPr>
          <w:rFonts w:ascii="Times New Roman" w:hAnsi="Times New Roman" w:cs="Times New Roman"/>
          <w:color w:val="000000" w:themeColor="text1"/>
          <w:shd w:val="clear" w:color="auto" w:fill="FFFFFF"/>
        </w:rPr>
        <w:t xml:space="preserve"> et al.</w:t>
      </w:r>
      <w:r w:rsidR="009B3670">
        <w:rPr>
          <w:rFonts w:ascii="Times New Roman" w:hAnsi="Times New Roman" w:cs="Times New Roman"/>
          <w:color w:val="000000" w:themeColor="text1"/>
          <w:shd w:val="clear" w:color="auto" w:fill="FFFFFF"/>
        </w:rPr>
        <w:t xml:space="preserve"> </w:t>
      </w:r>
      <w:r w:rsidR="009B3670" w:rsidRPr="00B3074D">
        <w:rPr>
          <w:rFonts w:ascii="Times New Roman" w:hAnsi="Times New Roman" w:cs="Times New Roman"/>
          <w:color w:val="000000" w:themeColor="text1"/>
          <w:shd w:val="clear" w:color="auto" w:fill="FFFFFF"/>
        </w:rPr>
        <w:fldChar w:fldCharType="begin" w:fldLock="1"/>
      </w:r>
      <w:r w:rsidR="009B3670">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009B3670" w:rsidRPr="00B3074D">
        <w:rPr>
          <w:rFonts w:ascii="Times New Roman" w:hAnsi="Times New Roman" w:cs="Times New Roman"/>
          <w:color w:val="000000" w:themeColor="text1"/>
          <w:shd w:val="clear" w:color="auto" w:fill="FFFFFF"/>
        </w:rPr>
        <w:fldChar w:fldCharType="separate"/>
      </w:r>
      <w:r w:rsidR="009B3670" w:rsidRPr="00B92C04">
        <w:rPr>
          <w:rFonts w:ascii="Times New Roman" w:hAnsi="Times New Roman" w:cs="Times New Roman"/>
          <w:noProof/>
          <w:color w:val="000000" w:themeColor="text1"/>
          <w:shd w:val="clear" w:color="auto" w:fill="FFFFFF"/>
        </w:rPr>
        <w:t>(26)</w:t>
      </w:r>
      <w:r w:rsidR="009B3670" w:rsidRPr="00B3074D">
        <w:rPr>
          <w:rFonts w:ascii="Times New Roman" w:hAnsi="Times New Roman" w:cs="Times New Roman"/>
          <w:color w:val="000000" w:themeColor="text1"/>
          <w:shd w:val="clear" w:color="auto" w:fill="FFFFFF"/>
        </w:rPr>
        <w:fldChar w:fldCharType="end"/>
      </w:r>
      <w:r w:rsidR="00B3074D" w:rsidRPr="00B3074D">
        <w:rPr>
          <w:rFonts w:ascii="Times New Roman" w:hAnsi="Times New Roman" w:cs="Times New Roman"/>
          <w:color w:val="000000" w:themeColor="text1"/>
          <w:shd w:val="clear" w:color="auto" w:fill="FFFFFF"/>
        </w:rPr>
        <w:t xml:space="preserve">, we show that nitrate concentrations were significantly correlated with vegetation cover, and at </w:t>
      </w:r>
      <w:r w:rsidR="002F4D3B">
        <w:rPr>
          <w:rFonts w:ascii="Times New Roman" w:hAnsi="Times New Roman" w:cs="Times New Roman"/>
          <w:color w:val="000000" w:themeColor="text1"/>
          <w:shd w:val="clear" w:color="auto" w:fill="FFFFFF"/>
        </w:rPr>
        <w:t>20-days</w:t>
      </w:r>
      <w:r w:rsidR="00B3074D" w:rsidRPr="00B3074D">
        <w:rPr>
          <w:rFonts w:ascii="Times New Roman" w:hAnsi="Times New Roman" w:cs="Times New Roman"/>
          <w:color w:val="000000" w:themeColor="text1"/>
          <w:shd w:val="clear" w:color="auto" w:fill="FFFFFF"/>
        </w:rPr>
        <w:t xml:space="preserve"> post-treatment, the handweeded plots experienced an increase in weedy vegetation cover and </w:t>
      </w:r>
      <w:proofErr w:type="spellStart"/>
      <w:r w:rsidR="00B3074D" w:rsidRPr="00B3074D">
        <w:rPr>
          <w:rFonts w:ascii="Times New Roman" w:hAnsi="Times New Roman" w:cs="Times New Roman"/>
          <w:i/>
          <w:iCs/>
          <w:color w:val="000000" w:themeColor="text1"/>
          <w:shd w:val="clear" w:color="auto" w:fill="FFFFFF"/>
        </w:rPr>
        <w:t>Zea</w:t>
      </w:r>
      <w:proofErr w:type="spellEnd"/>
      <w:r w:rsidR="00B3074D" w:rsidRPr="00B3074D">
        <w:rPr>
          <w:rFonts w:ascii="Times New Roman" w:hAnsi="Times New Roman" w:cs="Times New Roman"/>
          <w:i/>
          <w:iCs/>
          <w:color w:val="000000" w:themeColor="text1"/>
          <w:shd w:val="clear" w:color="auto" w:fill="FFFFFF"/>
        </w:rPr>
        <w:t xml:space="preserve"> mays</w:t>
      </w:r>
      <w:r w:rsidR="00B3074D"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Given the lack of difference between their handweeded and Roundup treated plots and the observed correlations between nitrate concentration and vegetation cover in our experiment, we </w:t>
      </w:r>
      <w:r w:rsidR="009B3670">
        <w:rPr>
          <w:rFonts w:ascii="Times New Roman" w:hAnsi="Times New Roman" w:cs="Times New Roman"/>
          <w:color w:val="000000" w:themeColor="text1"/>
          <w:shd w:val="clear" w:color="auto" w:fill="FFFFFF"/>
        </w:rPr>
        <w:t xml:space="preserve">again </w:t>
      </w:r>
      <w:r w:rsidRPr="00B3074D">
        <w:rPr>
          <w:rFonts w:ascii="Times New Roman" w:hAnsi="Times New Roman" w:cs="Times New Roman"/>
          <w:color w:val="000000" w:themeColor="text1"/>
          <w:shd w:val="clear" w:color="auto" w:fill="FFFFFF"/>
        </w:rPr>
        <w:t>suggest that differences in inorganic nitrogen between glyphosate, handweeded, and nontreated plots are indirectly mediated through changes in vegetation instead of a direct effect of herbicide application</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Function","type":"article-journal","volume":"36"},"uris":["http://www.mendeley.com/documents/?uuid=46c49909-054e-4074-b79c-32a737687ec4"]},{"id":"ITEM-3","itemData":{"DOI":"10.5772/12881","abstract":"With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Environment","id":"ITEM-3","issue":"February 2014","issued":{"date-parts":[["2011","1","8"]]},"publisher":"InTech","title":"Herbicides Effect on Nitrogen Cycling in Agroecossystems","type":"chapter"},"uris":["http://www.mendeley.com/documents/?uuid=711c0269-9aca-4fed-a99d-80457af430bc"]}],"mendeley":{"formattedCitation":"(19, 20, 46)","plainTextFormattedCitation":"(19, 20, 46)","previouslyFormattedCitation":"(19, 20, 47)"},"properties":{"noteIndex":0},"schema":"https://github.com/citation-style-language/schema/raw/master/csl-citation.json"}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(19, 20, 46)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r w:rsidRPr="00B92C04">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Experimental designs like ours and the one implemented by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B92C04">
        <w:rPr>
          <w:rFonts w:ascii="Times New Roman" w:hAnsi="Times New Roman" w:cs="Times New Roman"/>
          <w:noProof/>
          <w:color w:val="000000" w:themeColor="text1"/>
          <w:shd w:val="clear" w:color="auto" w:fill="FFFFFF"/>
        </w:rPr>
        <w:t>(26)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allow for direct and indirect effects of herbicide application and vegetation removal to be accounted for when considering the implications of </w:t>
      </w:r>
      <w:r w:rsidR="009B3670">
        <w:rPr>
          <w:rFonts w:ascii="Times New Roman" w:hAnsi="Times New Roman" w:cs="Times New Roman"/>
          <w:color w:val="000000" w:themeColor="text1"/>
          <w:shd w:val="clear" w:color="auto" w:fill="FFFFFF"/>
        </w:rPr>
        <w:t>chemical herbicide application</w:t>
      </w:r>
      <w:r w:rsidRPr="00B3074D">
        <w:rPr>
          <w:rFonts w:ascii="Times New Roman" w:hAnsi="Times New Roman" w:cs="Times New Roman"/>
          <w:color w:val="000000" w:themeColor="text1"/>
          <w:shd w:val="clear" w:color="auto" w:fill="FFFFFF"/>
        </w:rPr>
        <w:t>.</w:t>
      </w:r>
    </w:p>
    <w:p w14:paraId="483CA67A" w14:textId="2DA1E3EC" w:rsidR="00B3074D" w:rsidRPr="00B3074D" w:rsidRDefault="00B3074D" w:rsidP="00B92C04">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Differences in N</w:t>
      </w:r>
      <w:r w:rsidR="009F7052">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cycling under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other atrazine based herbicides treatment over time have also been observed in previous work, with a general trend of short term reduction in the rate of N mineralization following application </w:t>
      </w:r>
      <w:r w:rsidRPr="00B3074D">
        <w:rPr>
          <w:rFonts w:ascii="Times New Roman" w:hAnsi="Times New Roman" w:cs="Times New Roman"/>
        </w:rPr>
        <w:fldChar w:fldCharType="begin" w:fldLock="1"/>
      </w:r>
      <w:r w:rsidR="006067D4">
        <w:rPr>
          <w:rFonts w:ascii="Times New Roman" w:hAnsi="Times New Roman" w:cs="Times New Roman"/>
        </w:rPr>
        <w:instrText>ADDIN CSL_CITATION {"citationItems":[{"id":"ITEM-1","itemData":{"DOI":"10.1007/s00374-011-0569-x","ISSN":"01782762","abstract":"Atrazine is one of the most used herbicides worldwide; however, consequences of its long-term agricultural use are still unknown. A laboratory study was performed to examine changes in microbial properties following ethylamino-15N-atrazine addition, at recommended agronomic dose, to five acidic soils from Galicia (NW Spain) showing different physico-chemical characteristics, as well as atrazine application history. Net N mineralization was observed in all soils, with nitrate being the predominant substance formed. The highest values were detected in soils with low atrazine application history. From 2% to 23% of the atrazine-15N was found in the soil inorganic-N pool, the highest values being detected after 9 weeks in soils with longer atrazine application history and lower indigenous soil N mineralization. The application of atrazine slightly reduced the amount of soil N mineralized and microbial biomass at short term. Soluble carbohydrates and β-glucosidase and urease activity decreased with incubation time, but were not significantly affected by the single application of atrazine. Microbial community structure changed as consequence of both soil type and incubation time, but no changes in the phospholipid fatty acid (PLFA) pattern were detected due to recent atrazine addition at normal doses. The saturated 17- to 20-carbon fatty acids had higher relative abundance in soils with a longer atrazine history and fungal biomass, as indicated by the PLFA 18:2ω6,9, decreased with the incubation time. The results suggested that the PLFA pattern and soil N dynamics can detect the long-term impact of repeated atrazine application to agricultural soils. © 2011 Springer-Verlag.","author":[{"dropping-particle":"","family":"Mahía","given":"Jorge","non-dropping-particle":"","parse-names":false,"suffix":""},{"dropping-particle":"","family":"González-Prieto","given":"Serafin Jesus","non-dropping-particle":"","parse-names":false,"suffix":""},{"dropping-particle":"","family":"Martín","given":"Angela","non-dropping-particle":"","parse-names":false,"suffix":""},{"dropping-particle":"","family":"Bååth","given":"Erland","non-dropping-particle":"","parse-names":false,"suffix":""},{"dropping-particle":"","family":"Díaz-Raviña","given":"Montserrat","non-dropping-particle":"","parse-names":false,"suffix":""}],"container-title":"Biology and Fertility of Soils","id":"ITEM-1","issue":"5","issued":{"date-parts":[["2011"]]},"page":"577-589","title":"Biochemical properties and microbial community structure of five different soils after atrazine addition","type":"article-journal","volume":"47"},"suppress-author":1,"uris":["http://www.mendeley.com/documents/?uuid=d56aae2e-b60b-42b5-8184-d08a32d14b64"]}],"mendeley":{"formattedCitation":"(47)","plainTextFormattedCitation":"(47)","previouslyFormattedCitation":"(48)"},"properties":{"noteIndex":0},"schema":"https://github.com/citation-style-language/schema/raw/master/csl-citation.json"}</w:instrText>
      </w:r>
      <w:r w:rsidRPr="00B3074D">
        <w:rPr>
          <w:rFonts w:ascii="Times New Roman" w:hAnsi="Times New Roman" w:cs="Times New Roman"/>
        </w:rPr>
        <w:fldChar w:fldCharType="separate"/>
      </w:r>
      <w:r w:rsidR="006067D4" w:rsidRPr="006067D4">
        <w:rPr>
          <w:rFonts w:ascii="Times New Roman" w:hAnsi="Times New Roman" w:cs="Times New Roman"/>
          <w:noProof/>
        </w:rPr>
        <w:t>(47)</w:t>
      </w:r>
      <w:r w:rsidRPr="00B3074D">
        <w:rPr>
          <w:rFonts w:ascii="Times New Roman" w:hAnsi="Times New Roman" w:cs="Times New Roman"/>
        </w:rPr>
        <w:fldChar w:fldCharType="end"/>
      </w:r>
      <w:r w:rsidRPr="00B3074D">
        <w:rPr>
          <w:rFonts w:ascii="Times New Roman" w:hAnsi="Times New Roman" w:cs="Times New Roman"/>
          <w:color w:val="000000" w:themeColor="text1"/>
          <w:shd w:val="clear" w:color="auto" w:fill="FFFFFF"/>
        </w:rPr>
        <w:t xml:space="preserve">. </w:t>
      </w:r>
      <w:r w:rsidR="00B92C04">
        <w:rPr>
          <w:rFonts w:ascii="Times New Roman" w:hAnsi="Times New Roman" w:cs="Times New Roman"/>
          <w:color w:val="000000" w:themeColor="text1"/>
          <w:shd w:val="clear" w:color="auto" w:fill="FFFFFF"/>
        </w:rPr>
        <w:t>Accordingly,</w:t>
      </w:r>
      <w:r w:rsidRPr="00B3074D">
        <w:rPr>
          <w:rFonts w:ascii="Times New Roman" w:hAnsi="Times New Roman" w:cs="Times New Roman"/>
          <w:color w:val="000000" w:themeColor="text1"/>
          <w:shd w:val="clear" w:color="auto" w:fill="FFFFFF"/>
        </w:rPr>
        <w:t xml:space="preserve"> we </w:t>
      </w:r>
      <w:r w:rsidR="00B92C04">
        <w:rPr>
          <w:rFonts w:ascii="Times New Roman" w:hAnsi="Times New Roman" w:cs="Times New Roman"/>
          <w:color w:val="000000" w:themeColor="text1"/>
          <w:shd w:val="clear" w:color="auto" w:fill="FFFFFF"/>
        </w:rPr>
        <w:t>report</w:t>
      </w:r>
      <w:r w:rsidRPr="00B3074D">
        <w:rPr>
          <w:rFonts w:ascii="Times New Roman" w:hAnsi="Times New Roman" w:cs="Times New Roman"/>
          <w:color w:val="000000" w:themeColor="text1"/>
          <w:shd w:val="clear" w:color="auto" w:fill="FFFFFF"/>
        </w:rPr>
        <w:t xml:space="preserve"> a decrease in the </w:t>
      </w:r>
      <w:r w:rsidRPr="00B3074D">
        <w:rPr>
          <w:rFonts w:ascii="Times New Roman" w:hAnsi="Times New Roman" w:cs="Times New Roman"/>
          <w:color w:val="000000" w:themeColor="text1"/>
          <w:shd w:val="clear" w:color="auto" w:fill="FFFFFF"/>
        </w:rPr>
        <w:lastRenderedPageBreak/>
        <w:t xml:space="preserve">inorganic N pool over the twenty days post-application in the </w:t>
      </w:r>
      <w:proofErr w:type="spellStart"/>
      <w:r w:rsidRPr="00B3074D">
        <w:rPr>
          <w:rFonts w:ascii="Times New Roman" w:hAnsi="Times New Roman" w:cs="Times New Roman"/>
          <w:color w:val="000000" w:themeColor="text1"/>
        </w:rPr>
        <w:t>Aatrex</w:t>
      </w:r>
      <w:proofErr w:type="spellEnd"/>
      <w:r w:rsidRPr="00B3074D">
        <w:rPr>
          <w:rFonts w:ascii="Times New Roman" w:hAnsi="Times New Roman" w:cs="Times New Roman"/>
          <w:color w:val="000000" w:themeColor="text1"/>
        </w:rPr>
        <w:t xml:space="preserve"> treated</w:t>
      </w:r>
      <w:r w:rsidRPr="00B3074D">
        <w:rPr>
          <w:rFonts w:ascii="Times New Roman" w:hAnsi="Times New Roman" w:cs="Times New Roman"/>
          <w:color w:val="000000" w:themeColor="text1"/>
          <w:shd w:val="clear" w:color="auto" w:fill="FFFFFF"/>
        </w:rPr>
        <w:t xml:space="preserve"> plots, providing support for our hypothesis and further evidence that this herbicide has short term effects on N</w:t>
      </w:r>
      <w:r w:rsidR="009F7052">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cycling. However, </w:t>
      </w:r>
      <w:r w:rsidR="00B92C04">
        <w:rPr>
          <w:rFonts w:ascii="Times New Roman" w:hAnsi="Times New Roman" w:cs="Times New Roman"/>
          <w:color w:val="000000" w:themeColor="text1"/>
          <w:shd w:val="clear" w:color="auto" w:fill="FFFFFF"/>
        </w:rPr>
        <w:t>the</w:t>
      </w:r>
      <w:r w:rsidRPr="00B3074D">
        <w:rPr>
          <w:rFonts w:ascii="Times New Roman" w:hAnsi="Times New Roman" w:cs="Times New Roman"/>
          <w:color w:val="000000" w:themeColor="text1"/>
          <w:shd w:val="clear" w:color="auto" w:fill="FFFFFF"/>
        </w:rPr>
        <w:t xml:space="preserve"> trend of decreased inorganic N was observed in other treatments as well, and together with the observed correlations with total weedy vegetation, it is difficult to tell whether this effect is direct or indirect as the crop, </w:t>
      </w:r>
      <w:proofErr w:type="spellStart"/>
      <w:r w:rsidRPr="00B3074D">
        <w:rPr>
          <w:rFonts w:ascii="Times New Roman" w:hAnsi="Times New Roman" w:cs="Times New Roman"/>
          <w:color w:val="000000" w:themeColor="text1"/>
          <w:shd w:val="clear" w:color="auto" w:fill="FFFFFF"/>
        </w:rPr>
        <w:t>Zea</w:t>
      </w:r>
      <w:proofErr w:type="spellEnd"/>
      <w:r w:rsidRPr="00B3074D">
        <w:rPr>
          <w:rFonts w:ascii="Times New Roman" w:hAnsi="Times New Roman" w:cs="Times New Roman"/>
          <w:color w:val="000000" w:themeColor="text1"/>
          <w:shd w:val="clear" w:color="auto" w:fill="FFFFFF"/>
        </w:rPr>
        <w:t xml:space="preserve"> mays, and other weedy vegetation may also be partially responsible for a reduction in inorganic N via uptake and immobilization in plant biomass. </w:t>
      </w:r>
      <w:commentRangeStart w:id="16"/>
      <w:r w:rsidRPr="009F7052">
        <w:rPr>
          <w:rFonts w:ascii="Times New Roman" w:hAnsi="Times New Roman" w:cs="Times New Roman"/>
          <w:highlight w:val="yellow"/>
        </w:rPr>
        <w:t xml:space="preserve">Other similar herbicides, </w:t>
      </w:r>
      <w:r w:rsidR="00B92C04" w:rsidRPr="009F7052">
        <w:rPr>
          <w:rFonts w:ascii="Times New Roman" w:hAnsi="Times New Roman" w:cs="Times New Roman"/>
          <w:highlight w:val="yellow"/>
        </w:rPr>
        <w:t xml:space="preserve">e.g., </w:t>
      </w:r>
      <w:r w:rsidRPr="009F7052">
        <w:rPr>
          <w:rFonts w:ascii="Times New Roman" w:hAnsi="Times New Roman" w:cs="Times New Roman"/>
          <w:highlight w:val="yellow"/>
        </w:rPr>
        <w:t xml:space="preserve">members of the </w:t>
      </w:r>
      <w:r w:rsidRPr="009F7052">
        <w:rPr>
          <w:rFonts w:ascii="Calibri" w:hAnsi="Calibri" w:cs="Calibri"/>
          <w:highlight w:val="yellow"/>
        </w:rPr>
        <w:t>﻿</w:t>
      </w:r>
      <w:r w:rsidRPr="009F7052">
        <w:rPr>
          <w:rFonts w:ascii="Times New Roman" w:hAnsi="Times New Roman" w:cs="Times New Roman"/>
          <w:highlight w:val="yellow"/>
        </w:rPr>
        <w:t>triazine family, have also been shown to inhibit nitrification and decrease the abundance of specific ammonia oxidizers, leading to short term alterations to N</w:t>
      </w:r>
      <w:r w:rsidR="009F7052" w:rsidRPr="009F7052">
        <w:rPr>
          <w:rFonts w:ascii="Times New Roman" w:hAnsi="Times New Roman" w:cs="Times New Roman"/>
          <w:highlight w:val="yellow"/>
        </w:rPr>
        <w:t>-</w:t>
      </w:r>
      <w:r w:rsidRPr="009F7052">
        <w:rPr>
          <w:rFonts w:ascii="Times New Roman" w:hAnsi="Times New Roman" w:cs="Times New Roman"/>
          <w:highlight w:val="yellow"/>
        </w:rPr>
        <w:t xml:space="preserve">cycling </w:t>
      </w:r>
      <w:r w:rsidRPr="009F7052">
        <w:rPr>
          <w:rFonts w:ascii="Times New Roman" w:hAnsi="Times New Roman" w:cs="Times New Roman"/>
          <w:highlight w:val="yellow"/>
        </w:rPr>
        <w:fldChar w:fldCharType="begin" w:fldLock="1"/>
      </w:r>
      <w:r w:rsidR="00B92C04" w:rsidRPr="009F7052">
        <w:rPr>
          <w:rFonts w:ascii="Times New Roman" w:hAnsi="Times New Roman" w:cs="Times New Roman"/>
          <w:highlight w:val="yellow"/>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(25)","plainTextFormattedCitation":"(25)","previouslyFormattedCitation":"(25)"},"properties":{"noteIndex":0},"schema":"https://github.com/citation-style-language/schema/raw/master/csl-citation.json"}</w:instrText>
      </w:r>
      <w:r w:rsidRPr="009F7052">
        <w:rPr>
          <w:rFonts w:ascii="Times New Roman" w:hAnsi="Times New Roman" w:cs="Times New Roman"/>
          <w:highlight w:val="yellow"/>
        </w:rPr>
        <w:fldChar w:fldCharType="separate"/>
      </w:r>
      <w:r w:rsidR="00B92C04" w:rsidRPr="009F7052">
        <w:rPr>
          <w:rFonts w:ascii="Times New Roman" w:hAnsi="Times New Roman" w:cs="Times New Roman"/>
          <w:noProof/>
          <w:highlight w:val="yellow"/>
        </w:rPr>
        <w:t>(25)</w:t>
      </w:r>
      <w:r w:rsidRPr="009F7052">
        <w:rPr>
          <w:rFonts w:ascii="Times New Roman" w:hAnsi="Times New Roman" w:cs="Times New Roman"/>
          <w:highlight w:val="yellow"/>
        </w:rPr>
        <w:fldChar w:fldCharType="end"/>
      </w:r>
      <w:r w:rsidRPr="009F7052">
        <w:rPr>
          <w:rFonts w:ascii="Times New Roman" w:hAnsi="Times New Roman" w:cs="Times New Roman"/>
          <w:highlight w:val="yellow"/>
        </w:rPr>
        <w:t>.</w:t>
      </w:r>
      <w:r w:rsidRPr="00B3074D">
        <w:rPr>
          <w:rFonts w:ascii="Times New Roman" w:hAnsi="Times New Roman" w:cs="Times New Roman"/>
        </w:rPr>
        <w:t xml:space="preserve"> </w:t>
      </w:r>
      <w:commentRangeEnd w:id="16"/>
      <w:r w:rsidR="009F7052">
        <w:rPr>
          <w:rStyle w:val="CommentReference"/>
          <w:rFonts w:ascii="Times New Roman" w:eastAsia="Times New Roman" w:hAnsi="Times New Roman" w:cs="Times New Roman"/>
          <w:color w:val="000000"/>
          <w:lang w:eastAsia="de-DE"/>
        </w:rPr>
        <w:commentReference w:id="16"/>
      </w:r>
    </w:p>
    <w:p w14:paraId="59CB79C0" w14:textId="53381B9F"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As for differences in soil function based on extracellular enzymatic activities, we showed that there was no difference in total enzymatic profile between treatments at sampling time one, indicating that our plots were relatively homogeneous prior to treatment. </w:t>
      </w:r>
      <w:r w:rsidR="00B92C04">
        <w:rPr>
          <w:rFonts w:ascii="Times New Roman" w:hAnsi="Times New Roman" w:cs="Times New Roman"/>
          <w:color w:val="000000" w:themeColor="text1"/>
          <w:shd w:val="clear" w:color="auto" w:fill="FFFFFF"/>
        </w:rPr>
        <w:t>A</w:t>
      </w:r>
      <w:r w:rsidRPr="00B3074D">
        <w:rPr>
          <w:rFonts w:ascii="Times New Roman" w:hAnsi="Times New Roman" w:cs="Times New Roman"/>
          <w:color w:val="000000" w:themeColor="text1"/>
          <w:shd w:val="clear" w:color="auto" w:fill="FFFFFF"/>
        </w:rPr>
        <w:t>t ten</w:t>
      </w:r>
      <w:r w:rsidR="00B92C04">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day</w:t>
      </w:r>
      <w:r w:rsidR="00B92C04">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post-treatment, weed removal treatment did not affect enzymatic profiles, but total weedy vegetation </w:t>
      </w:r>
      <w:r w:rsidR="00B92C04">
        <w:rPr>
          <w:rFonts w:ascii="Times New Roman" w:hAnsi="Times New Roman" w:cs="Times New Roman"/>
          <w:color w:val="000000" w:themeColor="text1"/>
          <w:shd w:val="clear" w:color="auto" w:fill="FFFFFF"/>
        </w:rPr>
        <w:t>did</w:t>
      </w:r>
      <w:r w:rsidRPr="00B3074D">
        <w:rPr>
          <w:rFonts w:ascii="Times New Roman" w:hAnsi="Times New Roman" w:cs="Times New Roman"/>
          <w:color w:val="000000" w:themeColor="text1"/>
          <w:shd w:val="clear" w:color="auto" w:fill="FFFFFF"/>
        </w:rPr>
        <w:t xml:space="preserve">, again providing support to the idea that the effects of herbicide application on soil function may be indirectly mediated through changes in vegetation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 20)","plainTextFormattedCitation":"(19, 20)","previouslyFormattedCitation":"(19, 20)"},"properties":{"noteIndex":0},"schema":"https://github.com/citation-style-language/schema/raw/master/csl-citation.json"}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(19, 20)</w:t>
      </w:r>
      <w:r w:rsidRPr="00B3074D">
        <w:rPr>
          <w:rFonts w:ascii="Times New Roman" w:hAnsi="Times New Roman" w:cs="Times New Roman"/>
          <w:color w:val="000000" w:themeColor="text1"/>
          <w:shd w:val="clear" w:color="auto" w:fill="FFFFFF"/>
        </w:rPr>
        <w:fldChar w:fldCharType="end"/>
      </w:r>
      <w:r w:rsidR="009F7052">
        <w:rPr>
          <w:rFonts w:ascii="Times New Roman" w:hAnsi="Times New Roman" w:cs="Times New Roman"/>
          <w:color w:val="000000" w:themeColor="text1"/>
          <w:shd w:val="clear" w:color="auto" w:fill="FFFFFF"/>
        </w:rPr>
        <w:t>. This was</w:t>
      </w:r>
      <w:r w:rsidR="00B92C04">
        <w:rPr>
          <w:rFonts w:ascii="Times New Roman" w:hAnsi="Times New Roman" w:cs="Times New Roman"/>
          <w:color w:val="000000" w:themeColor="text1"/>
          <w:shd w:val="clear" w:color="auto" w:fill="FFFFFF"/>
        </w:rPr>
        <w:t xml:space="preserve"> further supported by the significance of total weedy vegetation as a predictor of fungal community composition</w:t>
      </w:r>
      <w:r w:rsidR="009F7052">
        <w:rPr>
          <w:rFonts w:ascii="Times New Roman" w:hAnsi="Times New Roman" w:cs="Times New Roman"/>
          <w:color w:val="000000" w:themeColor="text1"/>
          <w:shd w:val="clear" w:color="auto" w:fill="FFFFFF"/>
        </w:rPr>
        <w:t xml:space="preserve"> and lack of significance for weed removal treatment</w:t>
      </w:r>
      <w:r w:rsidRPr="00B3074D">
        <w:rPr>
          <w:rFonts w:ascii="Times New Roman" w:hAnsi="Times New Roman" w:cs="Times New Roman"/>
          <w:color w:val="000000" w:themeColor="text1"/>
          <w:shd w:val="clear" w:color="auto" w:fill="FFFFFF"/>
        </w:rPr>
        <w:t xml:space="preserve">. As plant diversity has been shown to influence microbial diversity, albeit the effect on bacteria and fungi is not equal, with a larger effect of vegetation being reported for fungal communities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{"citationItems":[{"id":"ITEM-1","itemData":{"DOI":"10.1007/s10705-009-9314-3","ISSN":"1385-1314","author":[{"dropping-particle":"","family":"Millard","given":"P.","non-dropping-particle":"","parse-names":false,"suffix":""},{"dropping-particle":"","family":"Singh","given":"B. K.","non-dropping-particle":"","parse-names":false,"suffix":""}],"container-title":"Nutrient Cycling in Agroecosystems","id":"ITEM-1","issue":"2","issued":{"date-parts":[["2010","11","2"]]},"page":"147-158","title":"Does grassland vegetation drive soil microbial diversity?","type":"article-journal","volume":"88"},"uris":["http://www.mendeley.com/documents/?uuid=6565710f-85f5-465c-8531-51d61e9e6de0"]}],"mendeley":{"formattedCitation":"(48)","plainTextFormattedCitation":"(48)","previouslyFormattedCitation":"(49)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(48)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total weedy vegetation influences microbial enzymatic profile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{"citationItems":[{"id":"ITEM-1","itemData":{"DOI":"10.1111/ele.12381","ISSN":"1461023X","abstract":"Aboveground-belowground interactions exert critical controls on the composition and function of terrestrial ecosystems, yet the fundamental relationships between plant diversity and soil microbial diversity remain elusive. Theory predicts predominantly positive associations but tests within single sites have shown variable relationships, and associations between plant and microbial diversity across broad spatial scales remain largely unexplored. We compared the diversity of plant, bacterial, archaeal and fungal communities in one hundred and forty-five 1 m2 plots across 25 temperate grassland sites from four continents. Across sites, the plant alpha diversity patterns were poorly related to those observed for any soil microbial group. However, plant beta diversity (compositional dissimilarity between sites) was significantly correlated with the beta diversity of bacterial and fungal communities, even after controlling for environmental factors. Thus, across a global range of temperate grasslands, plant diversity can predict patterns in the composition of soil microbial communities, but not patterns in alpha diversity.","author":[{"dropping-particle":"","family":"Prober","given":"Suzanne M.","non-dropping-particle":"","parse-names":false,"suffix":""},{"dropping-particle":"","family":"Leff","given":"Jonathan W.","non-dropping-particle":"","parse-names":false,"suffix":""},{"dropping-particle":"","family":"Bates","given":"Scott T.","non-dropping-particle":"","parse-names":false,"suffix":""},{"dropping-particle":"","family":"Borer","given":"Elizabeth T.","non-dropping-particle":"","parse-names":false,"suffix":""},{"dropping-particle":"","family":"Firn","given":"Jennifer","non-dropping-particle":"","parse-names":false,"suffix":""},{"dropping-particle":"","family":"Harpole","given":"W. Stanley","non-dropping-particle":"","parse-names":false,"suffix":""},{"dropping-particle":"","family":"Lind","given":"Eric M.","non-dropping-particle":"","parse-names":false,"suffix":""},{"dropping-particle":"","family":"Seabloom","given":"Eric W.","non-dropping-particle":"","parse-names":false,"suffix":""},{"dropping-particle":"","family":"Adler","given":"Peter B.","non-dropping-particle":"","parse-names":false,"suffix":""},{"dropping-particle":"","family":"Bakker","given":"Jonathan D.","non-dropping-particle":"","parse-names":false,"suffix":""},{"dropping-particle":"","family":"Cleland","given":"Elsa E.","non-dropping-particle":"","parse-names":false,"suffix":""},{"dropping-particle":"","family":"DeCrappeo","given":"Nicole M.","non-dropping-particle":"","parse-names":false,"suffix":""},{"dropping-particle":"","family":"DeLorenze","given":"Elizabeth","non-dropping-particle":"","parse-names":false,"suffix":""},{"dropping-particle":"","family":"Hagenah","given":"Nicole","non-dropping-particle":"","parse-names":false,"suffix":""},{"dropping-particle":"","family":"Hautier","given":"Yann","non-dropping-particle":"","parse-names":false,"suffix":""},{"dropping-particle":"","family":"Hofmockel","given":"Kirsten S.","non-dropping-particle":"","parse-names":false,"suffix":""},{"dropping-particle":"","family":"Kirkman","given":"Kevin P.","non-dropping-particle":"","parse-names":false,"suffix":""},{"dropping-particle":"","family":"Knops","given":"Johannes M.H.","non-dropping-particle":"","parse-names":false,"suffix":""},{"dropping-particle":"","family":"Pierre","given":"Kimberly J.","non-dropping-particle":"La","parse-names":false,"suffix":""},{"dropping-particle":"","family":"MacDougall","given":"Andrew S.","non-dropping-particle":"","parse-names":false,"suffix":""},{"dropping-particle":"","family":"McCulley","given":"Rebecca L.","non-dropping-particle":"","parse-names":false,"suffix":""},{"dropping-particle":"","family":"Mitchell","given":"Charles E.","non-dropping-particle":"","parse-names":false,"suffix":""},{"dropping-particle":"","family":"Risch","given":"Anita C.","non-dropping-particle":"","parse-names":false,"suffix":""},{"dropping-particle":"","family":"Schuetz","given":"Martin","non-dropping-particle":"","parse-names":false,"suffix":""},{"dropping-particle":"","family":"Stevens","given":"Carly J.","non-dropping-particle":"","parse-names":false,"suffix":""},{"dropping-particle":"","family":"Williams","given":"Ryan J.","non-dropping-particle":"","parse-names":false,"suffix":""},{"dropping-particle":"","family":"Fierer","given":"Noah","non-dropping-particle":"","parse-names":false,"suffix":""}],"container-title":"Ecology Letters","editor":[{"dropping-particle":"","family":"Klironomos","given":"John","non-dropping-particle":"","parse-names":false,"suffix":""}],"id":"ITEM-1","issue":"1","issued":{"date-parts":[["2015","1"]]},"page":"85-95","title":"Plant diversity predicts beta but not alpha diversity of soil microbes across grasslands worldwide","type":"article-journal","volume":"18"},"uris":["http://www.mendeley.com/documents/?uuid=0d479e02-2b6c-4acb-b858-b5f429f46724"]}],"mendeley":{"formattedCitation":"(49)","plainTextFormattedCitation":"(49)","previouslyFormattedCitation":"(50)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(49)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Th</w:t>
      </w:r>
      <w:r w:rsidR="00B92C04">
        <w:rPr>
          <w:rFonts w:ascii="Times New Roman" w:hAnsi="Times New Roman" w:cs="Times New Roman"/>
          <w:color w:val="000000" w:themeColor="text1"/>
          <w:shd w:val="clear" w:color="auto" w:fill="FFFFFF"/>
        </w:rPr>
        <w:t xml:space="preserve">is result, along with bacterial community homogenization following chemical treatment </w:t>
      </w:r>
      <w:r w:rsidRPr="00B3074D">
        <w:rPr>
          <w:rFonts w:ascii="Times New Roman" w:hAnsi="Times New Roman" w:cs="Times New Roman"/>
          <w:color w:val="000000" w:themeColor="text1"/>
          <w:shd w:val="clear" w:color="auto" w:fill="FFFFFF"/>
        </w:rPr>
        <w:t>directly refute</w:t>
      </w:r>
      <w:r w:rsidR="00B92C04">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our hypothesis that each mode of action would result in a unique </w:t>
      </w:r>
      <w:r w:rsidR="00B92C04" w:rsidRPr="00B3074D">
        <w:rPr>
          <w:rFonts w:ascii="Times New Roman" w:hAnsi="Times New Roman" w:cs="Times New Roman"/>
          <w:color w:val="000000" w:themeColor="text1"/>
          <w:shd w:val="clear" w:color="auto" w:fill="FFFFFF"/>
        </w:rPr>
        <w:t>f</w:t>
      </w:r>
      <w:r w:rsidR="00B92C04">
        <w:rPr>
          <w:rFonts w:ascii="Times New Roman" w:hAnsi="Times New Roman" w:cs="Times New Roman"/>
          <w:color w:val="000000" w:themeColor="text1"/>
          <w:shd w:val="clear" w:color="auto" w:fill="FFFFFF"/>
        </w:rPr>
        <w:t>unctional and community response</w:t>
      </w:r>
      <w:r w:rsidRPr="00B3074D">
        <w:rPr>
          <w:rFonts w:ascii="Times New Roman" w:hAnsi="Times New Roman" w:cs="Times New Roman"/>
          <w:color w:val="000000" w:themeColor="text1"/>
          <w:shd w:val="clear" w:color="auto" w:fill="FFFFFF"/>
        </w:rPr>
        <w:t xml:space="preserve">. </w:t>
      </w:r>
    </w:p>
    <w:p w14:paraId="6FE8C759" w14:textId="75ADC640" w:rsidR="00B92C04" w:rsidRPr="00B3074D" w:rsidRDefault="00B3074D" w:rsidP="00B92C04">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lastRenderedPageBreak/>
        <w:t xml:space="preserve">When examining changes in enzyme activities over the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within a single treatment type, we found phosphatase (PHOS) activity to be significantly different within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and handweeded plots. In these treatments, PHOS activity displayed a humped pattern, with an increase in enzyme activity at day 10 and a drop at day 20. It is possible that the increase in anthropogenic soil P and chemical by-products of microbial degradation of glyphosate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10.1002/fee.1985","ISSN":"15409295","author":[{"dropping-particle":"","family":"Hébert","given":"Marie-pier","non-dropping-particle":"","parse-names":false,"suffix":""},{"dropping-particle":"","family":"Fugère","given":"Vincent","non-dropping-particle":"","parse-names":false,"suffix":""},{"dropping-particle":"","family":"Gonzalez","given":"Andrew","non-dropping-particle":"","parse-names":false,"suffix":""}],"container-title":"Frontiers in Ecology and the Environment","id":"ITEM-1","issue":"1","issued":{"date-parts":[["2019","2"]]},"page":"48-56","title":"The overlooked impact of rising glyphosate use on phosphorus loading in agricultural watersheds","type":"article-journal","volume":"17"},"uris":["http://www.mendeley.com/documents/?uuid=d4e429b9-ab67-4dbe-987c-acd912c5078b"]}],"mendeley":{"formattedCitation":"(50)","plainTextFormattedCitation":"(50)","previouslyFormattedCitation":"(51)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(50)</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led to the significant decrease in activity observed in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treated plots between sampling times two and three. As extracellular enzymes are costly to produce for microbes, it could be hypothesized that the production and secretion of alkaline phosphatase might increase following the addition of an organophosphorus compound like Roundup (glyphosate) but decrease once there is sufficient P in the soil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{"citationItems":[{"id":"ITEM-1","itemData":{"DOI":"10.1146/annurev.ecolsys.38.091206.095740","ISSN":"1543-592X","author":[{"dropping-particle":"","family":"West","given":"Stuart A.","non-dropping-particle":"","parse-names":false,"suffix":""},{"dropping-particle":"","family":"Diggle","given":"Stephen P.","non-dropping-particle":"","parse-names":false,"suffix":""},{"dropping-particle":"","family":"Buckling","given":"Angus","non-dropping-particle":"","parse-names":false,"suffix":""},{"dropping-particle":"","family":"Gardner","given":"Andy","non-dropping-particle":"","parse-names":false,"suffix":""},{"dropping-particle":"","family":"Griffin","given":"Ashleigh S.","non-dropping-particle":"","parse-names":false,"suffix":""}],"container-title":"Annual Review of Ecology, Evolution, and Systematics","id":"ITEM-1","issue":"1","issued":{"date-parts":[["2007","12"]]},"page":"53-77","title":"The Social Lives of Microbes","type":"article-journal","volume":"38"},"uris":["http://www.mendeley.com/documents/?uuid=aae278d7-e93a-47d0-8de3-4f56ff904e60"]}],"mendeley":{"formattedCitation":"(51)","plainTextFormattedCitation":"(51)","previouslyFormattedCitation":"(52)"},"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(51)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as was shown with the increasing trend of soil phosphate over the twenty day period. However, given the lack of correlation between phosphate concentration and PHOS activity and observing the same patterns in the handweeded plots, we hypothesize forces besides herbicide application may be </w:t>
      </w:r>
      <w:proofErr w:type="gramStart"/>
      <w:r w:rsidRPr="00B3074D">
        <w:rPr>
          <w:rFonts w:ascii="Times New Roman" w:hAnsi="Times New Roman" w:cs="Times New Roman"/>
          <w:color w:val="000000" w:themeColor="text1"/>
          <w:shd w:val="clear" w:color="auto" w:fill="FFFFFF"/>
        </w:rPr>
        <w:t>responsible</w:t>
      </w:r>
      <w:r w:rsidR="00BB6B4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e.g.</w:t>
      </w:r>
      <w:proofErr w:type="gramEnd"/>
      <w:r w:rsidR="00BB6B4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redroot pigweed cover, that was shown to be negatively correlated with phosphate concentration</w:t>
      </w:r>
      <w:r w:rsidR="00BB6B4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p>
    <w:p w14:paraId="2729D412" w14:textId="1A9F946A" w:rsidR="00B3074D" w:rsidRPr="00B3074D" w:rsidRDefault="00B3074D" w:rsidP="00B92C04">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Though not following the same humped pattern that we observed, others have found the response of PHOS to glyphosate based herbicides in clay-loam soils to be related to time since application, with alkaline phosphatase being more sensitive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10.17221/673/2015-PSE","ISSN":"12141178","author":[{"dropping-particle":"","family":"Płatkowski","given":"M","non-dropping-particle":"","parse-names":false,"suffix":""},{"dropping-particle":"","family":"Telesiński","given":"A","non-dropping-particle":"","parse-names":false,"suffix":""}],"container-title":"Plant, Soil and Environment","id":"ITEM-1","issue":"No. 6","issued":{"date-parts":[["2016","6","24"]]},"page":"286-292","title":"Response of soil phosphatases to glyphosate and its formulations – Roundup (laboratory conditions)","type":"article-journal","volume":"62"},"uris":["http://www.mendeley.com/documents/?uuid=b4771ee7-d84e-4c11-b12b-194f40994d1c"]}],"mendeley":{"formattedCitation":"(52)","plainTextFormattedCitation":"(52)","previouslyFormattedCitation":"(53)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(52)</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than other members of the phosphatase enzyme family. Further,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(53)","plainTextFormattedCitation":"(53)","previouslyFormattedCitation":"(54)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(53)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used a controlled mesocosm experiment to examine the effect of Roundup on phosphatase activity and showed no differences between the recommended field rate group (1 L/HA) and controls and only a mild increase in activity in the 10X field rate application (10 L/HA), suggesting that the application of glyphosate based herbicide at rates of up to 10X field rate has limited effects on PHOS activity. As our application </w:t>
      </w:r>
      <w:r w:rsidRPr="00B3074D">
        <w:rPr>
          <w:rFonts w:ascii="Times New Roman" w:hAnsi="Times New Roman" w:cs="Times New Roman"/>
          <w:color w:val="000000" w:themeColor="text1"/>
          <w:shd w:val="clear" w:color="auto" w:fill="FFFFFF"/>
        </w:rPr>
        <w:lastRenderedPageBreak/>
        <w:t xml:space="preserve">rate was only slightly above the 1X and well below the 10X rates used by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(53)","plainTextFormattedCitation":"(53)","previouslyFormattedCitation":"(54)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(53)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the effects of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on PHOS activity were minimal and short lived. Others have also shown a high glyphosate dose requirement in order to observe significant effects on microbial activity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{"citationItems":[{"id":"ITEM-1","itemData":{"DOI":"10.1016/j.apsoil.2006.03.002","ISBN":"0929-1393","ISSN":"09291393","abstract":"Glyphosate applied at the recommended field rate to a clay loam and a sandy loam forest soil resulted in few changes in microbial community structure. Total and culturable bacteria, fungal hyphal length, bacterial:fungal biomass, carbon utilization profiles (BIOLOG), and bacterial and fungal phospholipid fatty acids (PLFA) were unaffected 1, 3, 7, or 30 days after application of a commercial formulation (Roundup®). In contrast, a high concentration of glyphosate (100× field rate) simulating an undiluted chemical spill substantially altered the bacterial community in both soils. Increases in total bacteria, culturable bacteria, and bacterial:fungal biomass were rapid following application. Culturable bacteria increased from about 1% of the total population in untreated soil to as much as 25% at the high concentration by day 7, indicating enrichment of generalist bacteria. Community composition in both soils shifted from fungal dominance to an equal ratio of bacteria to fungi. Functional diversity of culturable bacteria, estimated by C substrate utilization, also increased at the high glyphosate concentration, particularly in the clay loam soil. Unlike the other bacterial indices, only minor changes in bacterial PLFA resulted after the third day following the 100× field rate application. Apparently the herbicide resulted in an across-the-board stimulation of bacteria that was not reflected by the finer-scale PLFA community structure. Changes in fungal properties (hyphae, propagules, PLFA biomarkers) were few and transient. We conclude that the commercial formulation of glyphosate has a benign affect on community structure when applied at the recommended field rate, and produces a non-specific, short-term stimulation of bacteria at a high concentration.","author":[{"dropping-particle":"","family":"Ratcliff","given":"Alice W.","non-dropping-particle":"","parse-names":false,"suffix":""},{"dropping-particle":"","family":"Busse","given":"Matt D.","non-dropping-particle":"","parse-names":false,"suffix":""},{"dropping-particle":"","family":"Shestak","given":"Carol J.","non-dropping-particle":"","parse-names":false,"suffix":""}],"container-title":"Applied Soil Ecology","id":"ITEM-1","issue":"2-3","issued":{"date-parts":[["2006"]]},"page":"114-124","title":"Changes in microbial community structure following herbicide (glyphosate) additions to forest soils","type":"article-journal","volume":"34"},"uris":["http://www.mendeley.com/documents/?uuid=950bfffd-ee59-4251-b234-6263ad028e92"]},{"id":"ITEM-2","itemData":{"DOI":"10.1080/00103620701826506","ISSN":"00103624","abstract":"Short-term response of microbial respiration after treatment with different doses of the herbicides metsulfuron methyl (MET), 2,4-D, and glyphosate (GLY) was studied in microcosms of soils collected in three agricultural sites of the Southern Pampas region, Buenos Aires, Argentina. The influence of diammonium phosphate [(NH4)2PO4] on carbon dioxide (CO2) evolution, when applied with the highest doses of the herbicides, was also investigated. MET had no effect on microbial respiration of an acidic soil of San Román (pH 6.06), even at the highest rate. However, MET inhibited microbial respiration in soils of Bordenave (pH 7.44), at a rate of 0.1 mg kg-1 soil. Low application rates of GLY and 2,4-D produced only transitory effects on CO2 evolution, whereas the addition of high doses of these herbicides stimulated microbial activity. On the other hand, the addition of fertilizer to soil treated with a high dose of GLY temporarily inhibited CO2 release. Copyright © Taylor &amp; Francis Group, LLC.","author":[{"dropping-particle":"","family":"Zabaloy","given":"M. C.","non-dropping-particle":"","parse-names":false,"suffix":""},{"dropping-particle":"","family":"Gómez","given":"Marisa A.","non-dropping-particle":"","parse-names":false,"suffix":""}],"container-title":"Communications in Soil Science and Plant Analysis","id":"ITEM-2","issue":"3-4","issued":{"date-parts":[["2008"]]},"page":"370-385","title":"Microbial respiration in soils of the Argentine Pampas after metsulfuron methyl, 2,4-D, and glyphosate treatments","type":"article-journal","volume":"39"},"uris":["http://www.mendeley.com/documents/?uuid=fab6a6a1-22b7-45c6-b854-3545ebd7d907"]},{"id":"ITEM-3","itemData":{"DOI":"10.1080/03067310290009514","ISBN":"0306731029","ISSN":"03067319","abstract":"The short-time of six pure herbicides (atrazine, terbuthylazine, rimsulfuron, primisulfuron-methyl, glyphosate and gluphosinate-ammonium) with respect to the corresponding commercial formulations on microbial activity and biomass of sandy loam soil were investigated. Application rates were: agricultural rate, 20 and 200 μg a.i. g-1 soil. Application at normal agricultural rates did not lead to significant effects on soil microbial activity, whereas soil microbial activity was markedly stimulated when pure and commercial formulations of the six herbicides were applied at 20 μg a.i. g-1 soil. The addition of 200 μg a.i. g-1 soil of four pure herbicides (atrazine, terbuthylazine, rimsulfuron, primisulfuron-methjyl) led to a significant decrease of soil microbial activity. Commercial formulations characterized by a higher relative a.i. concentration (atrazine and primisulfuron-methyl) approximately determined the same decreasing effect of the pure compound, whereas herbicide formulations with a lower relative a.i. concentration (terbuthylazine and rimsulfuron) produced a significant increase in soil microbial activity.","author":[{"dropping-particle":"","family":"Accinelli","given":"Cesare","non-dropping-particle":"","parse-names":false,"suffix":""},{"dropping-particle":"","family":"Screpanti","given":"Claudio","non-dropping-particle":"","parse-names":false,"suffix":""},{"dropping-particle":"","family":"Dinelli","given":"Giovanni","non-dropping-particle":"","parse-names":false,"suffix":""},{"dropping-particle":"","family":"Vicari","given":"Alberto","non-dropping-particle":"","parse-names":false,"suffix":""}],"container-title":"International Journal of Environmental Analytical Chemistry","id":"ITEM-3","issue":"8-9","issued":{"date-parts":[["2002"]]},"page":"519-527","title":"Short-time effects of pure and formulated herbicides on soil microbial activity and biomass","type":"article-journal","volume":"82"},"uris":["http://www.mendeley.com/documents/?uuid=fe42b6b3-07ab-4a30-8882-98267c5d686d"]}],"mendeley":{"formattedCitation":"(54–56)","plainTextFormattedCitation":"(54–56)","previouslyFormattedCitation":"(55–57)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(54–56)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hypothesize that at these high rates, increased microbial activity following herbicide application is a result of detrimental effects on lithotrophic microbes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(46)","plainTextFormattedCitation":"(46)","previouslyFormattedCitation":"(47)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(46)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If true, this would shift the competitive balance among microbes, with heterotrophic microbes being favored. </w:t>
      </w:r>
      <w:r w:rsidR="00B92C04">
        <w:rPr>
          <w:rFonts w:ascii="Times New Roman" w:hAnsi="Times New Roman" w:cs="Times New Roman"/>
          <w:color w:val="000000" w:themeColor="text1"/>
          <w:shd w:val="clear" w:color="auto" w:fill="FFFFFF"/>
        </w:rPr>
        <w:t xml:space="preserve">Shifts in the abundance of </w:t>
      </w:r>
      <w:proofErr w:type="spellStart"/>
      <w:r w:rsidR="00B92C04" w:rsidRPr="00B92C04">
        <w:rPr>
          <w:rFonts w:ascii="Times New Roman" w:hAnsi="Times New Roman" w:cs="Times New Roman"/>
          <w:color w:val="000000" w:themeColor="text1"/>
          <w:highlight w:val="yellow"/>
          <w:shd w:val="clear" w:color="auto" w:fill="FFFFFF"/>
        </w:rPr>
        <w:t>Shpingomondacae</w:t>
      </w:r>
      <w:proofErr w:type="spellEnd"/>
      <w:r w:rsidR="00B92C04" w:rsidRPr="00B92C04">
        <w:rPr>
          <w:rFonts w:ascii="Times New Roman" w:hAnsi="Times New Roman" w:cs="Times New Roman"/>
          <w:color w:val="000000" w:themeColor="text1"/>
          <w:highlight w:val="yellow"/>
          <w:shd w:val="clear" w:color="auto" w:fill="FFFFFF"/>
        </w:rPr>
        <w:t xml:space="preserve"> provide support and show increased abundance of putative herbicide degraders following chemical herbicide </w:t>
      </w:r>
      <w:commentRangeStart w:id="17"/>
      <w:r w:rsidR="00B92C04" w:rsidRPr="00B92C04">
        <w:rPr>
          <w:rFonts w:ascii="Times New Roman" w:hAnsi="Times New Roman" w:cs="Times New Roman"/>
          <w:color w:val="000000" w:themeColor="text1"/>
          <w:highlight w:val="yellow"/>
          <w:shd w:val="clear" w:color="auto" w:fill="FFFFFF"/>
        </w:rPr>
        <w:t>application</w:t>
      </w:r>
      <w:commentRangeEnd w:id="17"/>
      <w:r w:rsidR="00B92C04" w:rsidRPr="00B92C04">
        <w:rPr>
          <w:rStyle w:val="CommentReference"/>
          <w:rFonts w:ascii="Times New Roman" w:eastAsia="Times New Roman" w:hAnsi="Times New Roman" w:cs="Times New Roman"/>
          <w:color w:val="000000"/>
          <w:highlight w:val="yellow"/>
          <w:lang w:eastAsia="de-DE"/>
        </w:rPr>
        <w:commentReference w:id="17"/>
      </w:r>
      <w:r w:rsidR="00B92C04">
        <w:rPr>
          <w:rFonts w:ascii="Times New Roman" w:hAnsi="Times New Roman" w:cs="Times New Roman"/>
          <w:color w:val="000000" w:themeColor="text1"/>
          <w:shd w:val="clear" w:color="auto" w:fill="FFFFFF"/>
        </w:rPr>
        <w:t xml:space="preserve">. </w:t>
      </w:r>
      <w:proofErr w:type="gramStart"/>
      <w:r w:rsidR="00B92C04">
        <w:rPr>
          <w:rFonts w:ascii="Times New Roman" w:hAnsi="Times New Roman" w:cs="Times New Roman"/>
          <w:color w:val="000000" w:themeColor="text1"/>
          <w:shd w:val="clear" w:color="auto" w:fill="FFFFFF"/>
        </w:rPr>
        <w:t>However</w:t>
      </w:r>
      <w:proofErr w:type="gramEnd"/>
      <w:r w:rsidR="00B92C04">
        <w:rPr>
          <w:rFonts w:ascii="Times New Roman" w:hAnsi="Times New Roman" w:cs="Times New Roman"/>
          <w:color w:val="000000" w:themeColor="text1"/>
          <w:shd w:val="clear" w:color="auto" w:fill="FFFFFF"/>
        </w:rPr>
        <w:t xml:space="preserve"> as</w:t>
      </w:r>
      <w:commentRangeStart w:id="18"/>
      <w:r w:rsidRPr="00B3074D">
        <w:rPr>
          <w:rFonts w:ascii="Times New Roman" w:hAnsi="Times New Roman" w:cs="Times New Roman"/>
          <w:color w:val="000000" w:themeColor="text1"/>
          <w:shd w:val="clear" w:color="auto" w:fill="FFFFFF"/>
        </w:rPr>
        <w:t xml:space="preserve"> we observed increased activity in several extracellular enzymes, both in the handweeded and Roundup (glyphosate) treated plots</w:t>
      </w:r>
      <w:r w:rsidR="00B92C04">
        <w:rPr>
          <w:rFonts w:ascii="Times New Roman" w:hAnsi="Times New Roman" w:cs="Times New Roman"/>
          <w:color w:val="000000" w:themeColor="text1"/>
          <w:shd w:val="clear" w:color="auto" w:fill="FFFFFF"/>
        </w:rPr>
        <w:t>, it is possible that an</w:t>
      </w:r>
      <w:r w:rsidRPr="00B3074D">
        <w:rPr>
          <w:rFonts w:ascii="Times New Roman" w:hAnsi="Times New Roman" w:cs="Times New Roman"/>
          <w:color w:val="000000" w:themeColor="text1"/>
          <w:shd w:val="clear" w:color="auto" w:fill="FFFFFF"/>
        </w:rPr>
        <w:t xml:space="preserve"> increase in available above- and belowground plant detritus</w:t>
      </w:r>
      <w:r w:rsidR="00B92C04">
        <w:rPr>
          <w:rFonts w:ascii="Times New Roman" w:hAnsi="Times New Roman" w:cs="Times New Roman"/>
          <w:color w:val="000000" w:themeColor="text1"/>
          <w:shd w:val="clear" w:color="auto" w:fill="FFFFFF"/>
        </w:rPr>
        <w:t xml:space="preserve"> could explain the shifts in enzymatic activity</w:t>
      </w:r>
      <w:r w:rsidRPr="00B3074D">
        <w:rPr>
          <w:rFonts w:ascii="Times New Roman" w:hAnsi="Times New Roman" w:cs="Times New Roman"/>
          <w:color w:val="000000" w:themeColor="text1"/>
          <w:shd w:val="clear" w:color="auto" w:fill="FFFFFF"/>
        </w:rPr>
        <w:t xml:space="preserve">. With the observed hump shape in enzyme activities and a return to pre-treatment levels, it could be hypothesized that labile litter inputs would stimulate decomposition, but once the detritus became more recalcitrant or its C:N ratio increased, it may no longer be favorable for decomposition, resulting in the observed decrease in extracellular enzyme activity from 10 to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post-application</w:t>
      </w:r>
      <w:r w:rsidR="00B92C04">
        <w:rPr>
          <w:rFonts w:ascii="Times New Roman" w:hAnsi="Times New Roman" w:cs="Times New Roman"/>
          <w:color w:val="000000" w:themeColor="text1"/>
          <w:shd w:val="clear" w:color="auto" w:fill="FFFFFF"/>
        </w:rPr>
        <w:t xml:space="preserve">, with similar results shown by </w:t>
      </w:r>
      <w:proofErr w:type="spellStart"/>
      <w:r w:rsidR="00B92C04">
        <w:rPr>
          <w:rFonts w:ascii="Times New Roman" w:hAnsi="Times New Roman" w:cs="Times New Roman"/>
          <w:color w:val="000000" w:themeColor="text1"/>
          <w:shd w:val="clear" w:color="auto" w:fill="FFFFFF"/>
        </w:rPr>
        <w:t>Damin</w:t>
      </w:r>
      <w:proofErr w:type="spellEnd"/>
      <w:r w:rsidR="00B92C04">
        <w:rPr>
          <w:rFonts w:ascii="Times New Roman" w:hAnsi="Times New Roman" w:cs="Times New Roman"/>
          <w:color w:val="000000" w:themeColor="text1"/>
          <w:shd w:val="clear" w:color="auto" w:fill="FFFFFF"/>
        </w:rPr>
        <w:t xml:space="preserve"> and </w:t>
      </w:r>
      <w:proofErr w:type="spellStart"/>
      <w:r w:rsidR="00B92C04">
        <w:rPr>
          <w:rFonts w:ascii="Times New Roman" w:hAnsi="Times New Roman" w:cs="Times New Roman"/>
          <w:color w:val="000000" w:themeColor="text1"/>
          <w:shd w:val="clear" w:color="auto" w:fill="FFFFFF"/>
        </w:rPr>
        <w:t>Triveli</w:t>
      </w:r>
      <w:proofErr w:type="spellEnd"/>
      <w:r w:rsidR="00B92C04">
        <w:rPr>
          <w:rFonts w:ascii="Times New Roman" w:hAnsi="Times New Roman" w:cs="Times New Roman"/>
          <w:color w:val="000000" w:themeColor="text1"/>
          <w:shd w:val="clear" w:color="auto" w:fill="FFFFFF"/>
        </w:rPr>
        <w:t xml:space="preserve"> </w:t>
      </w:r>
      <w:r w:rsidR="00B92C04">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(46)","plainTextFormattedCitation":"(46)","previouslyFormattedCitation":"(47)"},"properties":{"noteIndex":0},"schema":"https://github.com/citation-style-language/schema/raw/master/csl-citation.json"}</w:instrText>
      </w:r>
      <w:r w:rsidR="00B92C04">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(46)</w:t>
      </w:r>
      <w:r w:rsidR="00B92C04">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commentRangeEnd w:id="18"/>
      <w:r w:rsidR="00B92C04">
        <w:rPr>
          <w:rStyle w:val="CommentReference"/>
          <w:rFonts w:ascii="Times New Roman" w:eastAsia="Times New Roman" w:hAnsi="Times New Roman" w:cs="Times New Roman"/>
          <w:color w:val="000000"/>
          <w:lang w:eastAsia="de-DE"/>
        </w:rPr>
        <w:commentReference w:id="18"/>
      </w:r>
      <w:r w:rsidR="00B92C04">
        <w:rPr>
          <w:rFonts w:ascii="Times New Roman" w:hAnsi="Times New Roman" w:cs="Times New Roman"/>
          <w:color w:val="000000" w:themeColor="text1"/>
          <w:shd w:val="clear" w:color="auto" w:fill="FFFFFF"/>
        </w:rPr>
        <w:t xml:space="preserve"> </w:t>
      </w:r>
    </w:p>
    <w:p w14:paraId="03644A58" w14:textId="6C538F1E" w:rsidR="00B92C04"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Based on our conservative mixed models, four enzymes or enzyme ratios produced significant models, however, each model had different significant predictors, suggesting that soil enzyme activity may respond to herbicide application and environmental ques in an enzyme specific fashion. In particular, the activity of BG, </w:t>
      </w:r>
      <w:proofErr w:type="gramStart"/>
      <w:r w:rsidRPr="00B3074D">
        <w:rPr>
          <w:rFonts w:ascii="Times New Roman" w:hAnsi="Times New Roman" w:cs="Times New Roman"/>
          <w:color w:val="000000" w:themeColor="text1"/>
          <w:shd w:val="clear" w:color="auto" w:fill="FFFFFF"/>
        </w:rPr>
        <w:t>LAP</w:t>
      </w:r>
      <w:proofErr w:type="gramEnd"/>
      <w:r w:rsidRPr="00B3074D">
        <w:rPr>
          <w:rFonts w:ascii="Times New Roman" w:hAnsi="Times New Roman" w:cs="Times New Roman"/>
          <w:color w:val="000000" w:themeColor="text1"/>
          <w:shd w:val="clear" w:color="auto" w:fill="FFFFFF"/>
        </w:rPr>
        <w:t xml:space="preserve"> and the ratio of C:P cycling enzymes were shown to be predicted by total weedy vegetation. As both BG and LAP are produced by both plants as well as microbes, it is not surprising that their activities are predicted by total weedy vegetation cover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{"citationItems":[{"id":"ITEM-1","itemData":{"DOI":"10.1016/j.phytochem.2008.03.006","ISSN":"00319422","author":[{"dropping-particle":"","family":"Morant","given":"Anne Vinther","non-dropping-particle":"","parse-names":false,"suffix":""},{"dropping-particle":"","family":"Jørgensen","given":"Kirsten","non-dropping-particle":"","parse-names":false,"suffix":""},{"dropping-particle":"","family":"Jørgensen","given":"Charlotte","non-dropping-particle":"","parse-names":false,"suffix":""},{"dropping-particle":"","family":"Paquette","given":"Suzanne Michelle","non-dropping-particle":"","parse-names":false,"suffix":""},{"dropping-particle":"","family":"Sánchez-Pérez","given":"Raquel","non-dropping-particle":"","parse-names":false,"suffix":""},{"dropping-particle":"","family":"Møller","given":"Birger Lindberg","non-dropping-particle":"","parse-names":false,"suffix":""},{"dropping-particle":"","family":"Bak","given":"Søren","non-dropping-particle":"","parse-names":false,"suffix":""}],"container-title":"Phytochemistry","id":"ITEM-1","issue":"9","issued":{"date-parts":[["2008","6"]]},"page":"1795-1813","title":"β-Glucosidases as detonators of plant chemical defense","type":"article-journal","volume":"69"},"uris":["http://www.mendeley.com/documents/?uuid=da087548-8c61-4287-a87a-a8ccde702c56"]},{"id":"ITEM-2","itemData":{"DOI":"10.1074/jbc.M111.309500","ISSN":"00219258","author":[{"dropping-particle":"","family":"Scranton","given":"Melissa A","non-dropping-particle":"","parse-names":false,"suffix":""},{"dropping-particle":"","family":"Yee","given":"Ashley","non-dropping-particle":"","parse-names":false,"suffix":""},{"dropping-particle":"","family":"Park","given":"Sang-youl","non-dropping-particle":"","parse-names":false,"suffix":""},{"dropping-particle":"","family":"Walling","given":"Linda L","non-dropping-particle":"","parse-names":false,"suffix":""}],"container-title":"Journal of Biological Chemistry","id":"ITEM-2","issue":"22","issued":{"date-parts":[["2012","5"]]},"page":"18408-18417","publisher":"Â© 2012 ASBMB. Currently published by Elsevier Inc; originally published by American Society for Biochemistry and Molecular Biology.","title":"Plant Leucine Aminopeptidases Moonlight as Molecular Chaperones to Alleviate Stress-induced Damage","type":"article-journal","volume":"287"},"uris":["http://www.mendeley.com/documents/?uuid=bf44a8aa-79bb-4a2b-804b-f4a46d1090c5"]},{"id":"ITEM-3","itemData":{"DOI":"10.1007/s11103-011-9800-2","ISSN":"0167-4412","author":[{"dropping-particle":"","family":"Gómez-Anduro","given":"Gracia","non-dropping-particle":"","parse-names":false,"suffix":""},{"dropping-particle":"","family":"Ceniceros-Ojeda","given":"Esther Adriana","non-dropping-particle":"","parse-names":false,"suffix":""},{"dropping-particle":"","family":"Casados-Vázquez","given":"Luz Edith","non-dropping-particle":"","parse-names":false,"suffix":""},{"dropping-particle":"","family":"Bencivenni","given":"Christelle","non-dropping-particle":"","parse-names":false,"suffix":""},{"dropping-particle":"","family":"Sierra-Beltrán","given":"Arturo","non-dropping-particle":"","parse-names":false,"suffix":""},{"dropping-particle":"","family":"Murillo-Amador","given":"Bernardo","non-dropping-particle":"","parse-names":false,"suffix":""},{"dropping-particle":"","family":"Tiessen","given":"Axel","non-dropping-particle":"","parse-names":false,"suffix":""}],"container-title":"Plant Molecular Biology","id":"ITEM-3","issue":"1-2","issued":{"date-parts":[["2011","9","22"]]},"page":"159-183","title":"Genome-wide analysis of the beta-glucosidase gene family in maize (Zea mays L. var B73)","type":"article-journal","volume":"77"},"uris":["http://www.mendeley.com/documents/?uuid=2b636a59-309e-4ee2-be2d-552912c192b4"]}],"mendeley":{"formattedCitation":"(57–59)","plainTextFormattedCitation":"(57–59)","previouslyFormattedCitation":"(58–60)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(57–59)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also possible that the mechanical disruption of soil during </w:t>
      </w:r>
      <w:r w:rsidRPr="00B3074D">
        <w:rPr>
          <w:rFonts w:ascii="Times New Roman" w:hAnsi="Times New Roman" w:cs="Times New Roman"/>
          <w:color w:val="000000" w:themeColor="text1"/>
          <w:shd w:val="clear" w:color="auto" w:fill="FFFFFF"/>
        </w:rPr>
        <w:lastRenderedPageBreak/>
        <w:t xml:space="preserve">the enzyme assay prep could have also led to intracellular enzymes, contained in plant material, to be released into the soil slurry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{"citationItems":[{"id":"ITEM-1","itemData":{"abstract":"Enzymes are catalytic substances that without undergoing permanent alteration cause chemical reactions to proceed as faster rate. Soil enzymes play key biochemical functions in the overall process of organic matter decomposition in the soil system. They are important in catalyzing several important reactions necessary for the life processes of micro-organisms in soils, stabilization of soil structure, and the decomposition of organic wastes, organic matter formation and nutrient cycling. Soil enzymes regulate the functioning of the ecosystem and play key biochemical functions in the overall process of organic matter transformation and nutrient cycling in the soil system. The overall enzyme activity in soil consists of various intracellular and extracellular enzymes that originate from microorganisms (e.g., bacteria, fungi) or from plants and animals. These enzymes may include amylase, arylsulphatases, glycosidase, cellulose, chitins, dehydrogenate, phosphates, protease and urease. Ester sulfates are considered to be the most labile form of soil organic S, they are unavailable to plants and must be hydrolyzed to inorganic SO4 2- before plant uptakes. Arylsulfatase is involved by cleaving the O_S bond and is believed to make a major contribution to the mineralization of ester sulfate in soils. Amylase is a starch hydrolyzing enzyme. It is known to be constituted by α-amylase and β amylase that plays a significant role in the breakdown of starch. Research evidence suggests that several other enzymes are involved in the hydrolysis of starch, but of major importance are α-amylase which converts starch like substrates to glucose and/or oligosaccharides and β-amylase, which converts starch to maltose. β-glucosidase is one such enzyme, being involved in the enzymatic degradation of cellulose, which is the main component of plant polysaccharides. Phosphatases are a broad group of enzymes that are capable of catalysing hydrolysis of esters and anhydrides of phosphoric acid.","author":[{"dropping-particle":"","family":"T. Sherene","given":"","non-dropping-particle":"","parse-names":false,"suffix":""}],"container-title":"Bio Bulletin","id":"ITEM-1","issue":"1","issued":{"date-parts":[["2017"]]},"page":"109-131","title":"Role of Soil Enzymes in Nutrient Transformation: A Review","type":"article-journal","volume":"3 (1)"},"uris":["http://www.mendeley.com/documents/?uuid=1156bbd1-41e3-4289-94f8-b2d5cd90d235"]}],"mendeley":{"formattedCitation":"(60)","plainTextFormattedCitation":"(60)","previouslyFormattedCitation":"(61)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(60)</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Though we observed differences in PHOS activity in our experiment, our mixed modeling found the activity of PHOS at time one to be a significant predictor of activities at time two and three, suggesting the existence of a legacy effect in PHOS activity. Thus, our ability to say whether PHOS activity was affected by weed removal treatment is limited. </w:t>
      </w:r>
    </w:p>
    <w:p w14:paraId="0B99EE47" w14:textId="4FE9EB0F"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Our results suggests that herbicide application has limited effects on soil nutrient concentrations and microbial function over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post-application, and the observed differences are most likely mediated through indirect effects. While our experiment examined several herbicides and compared them to both handweeded and nontreated controls, the differences recovered were mostly limited to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and handweeded treatment plots. Our findings are not all that surprising due to the high degree of functional redundancy in the soil microbiome </w:t>
      </w:r>
      <w:r w:rsidRPr="00B3074D">
        <w:rPr>
          <w:rFonts w:ascii="Times New Roman" w:hAnsi="Times New Roman" w:cs="Times New Roman"/>
        </w:rPr>
        <w:fldChar w:fldCharType="begin" w:fldLock="1"/>
      </w:r>
      <w:r w:rsidR="006067D4">
        <w:rPr>
          <w:rFonts w:ascii="Times New Roman" w:hAnsi="Times New Roman" w:cs="Times New Roman"/>
        </w:rPr>
        <w:instrText>ADDIN CSL_CITATION {"citationItems":[{"id":"ITEM-1","itemData":{"DOI":"10.1073/pnas.1402584111","ISBN":"1091-6490 (Electronic)\\r0027-8424 (Linking)","ISSN":"0027-8424","PMID":"24733885","abstract":"Identifying the ecological processes that structure communities and the consequences for ecosystem function is a central goal of ecology. The recognition that fungi, bacteria, and viruses control key ecosystem functions has made microbial communities a major focus of this field. Because many ecological processes are apparent only at particular spatial or temporal scales, a complete understanding of the linkages between microbial community, environment, and function requires analysis across a wide range of scales. Here, we map the biological and functional geography of soil fungi from local to continental scales and show that the principal ecological processes controlling community structure and function operate at different scales. Similar to plants or animals, most soil fungi are endemic to particular bioregions, suggesting that factors operating at large spatial scales, like dispersal limitation or climate, are the first-order determinants of fungal community structure in nature. By contrast, soil extracellular enzyme activity is highly convergent across bioregions and widely differing fungal communities. Instead, soil enzyme activity is correlated with local soil environment and distribution of fungal traits within the community. The lack of structure-function relationships for soil fungal communities at continental scales indicates a high degree of functional redundancy among fungal communities in global biogeochemical cycles.","author":[{"dropping-particle":"","family":"Talbot","given":"Jennifer M","non-dropping-particle":"","parse-names":false,"suffix":""},{"dropping-particle":"","family":"Bruns","given":"Thomas D","non-dropping-particle":"","parse-names":false,"suffix":""},{"dropping-particle":"","family":"Taylor","given":"John W","non-dropping-particle":"","parse-names":false,"suffix":""},{"dropping-particle":"","family":"Smith","given":"D. P.","non-dropping-particle":"","parse-names":false,"suffix":""},{"dropping-particle":"","family":"Branco","given":"Sara","non-dropping-particle":"","parse-names":false,"suffix":""},{"dropping-particle":"","family":"Glassman","given":"Sydney I","non-dropping-particle":"","parse-names":false,"suffix":""},{"dropping-particle":"","family":"Erlandson","given":"Sonya","non-dropping-particle":"","parse-names":false,"suffix":""},{"dropping-particle":"","family":"Vilgalys","given":"Rytas","non-dropping-particle":"","parse-names":false,"suffix":""},{"dropping-particle":"","family":"Liao","given":"H.-L.","non-dropping-particle":"","parse-names":false,"suffix":""},{"dropping-particle":"","family":"Smith","given":"Matthew E","non-dropping-particle":"","parse-names":false,"suffix":""},{"dropping-particle":"","family":"Peay","given":"Kabir G","non-dropping-particle":"","parse-names":false,"suffix":""}],"container-title":"Proceedings of the National Academy of Sciences","id":"ITEM-1","issue":"17","issued":{"date-parts":[["2014","4","29"]]},"page":"6341-6346","title":"Endemism and functional convergence across the North American soil mycobiome","type":"article-journal","volume":"111"},"uris":["http://www.mendeley.com/documents/?uuid=ba2f044d-44d1-4397-8933-38fa51c1c203"]},{"id":"ITEM-2","itemData":{"DOI":"10.1111/j.1365-2389.2010.01314.x","ISSN":"13510754","author":[{"dropping-particle":"","family":"Nielsen","given":"U. N.","non-dropping-particle":"","parse-names":false,"suffix":""},{"dropping-particle":"","family":"Ayres","given":"E.","non-dropping-particle":"","parse-names":false,"suffix":""},{"dropping-particle":"","family":"Wall","given":"D. H.","non-dropping-particle":"","parse-names":false,"suffix":""},{"dropping-particle":"","family":"Bardgett","given":"R. D.","non-dropping-particle":"","parse-names":false,"suffix":""}],"container-title":"European Journal of Soil Science","id":"ITEM-2","issue":"1","issued":{"date-parts":[["2011","2"]]},"page":"105-116","title":"Soil biodiversity and carbon cycling: a review and synthesis of studies examining diversity-function relationships","type":"article-journal","volume":"62"},"uris":["http://www.mendeley.com/documents/?uuid=a50e67e9-8be9-4934-87a6-9cb98e6831d5"]}],"mendeley":{"formattedCitation":"(61, 62)","plainTextFormattedCitation":"(61, 62)","previouslyFormattedCitation":"(62, 63)"},"properties":{"noteIndex":0},"schema":"https://github.com/citation-style-language/schema/raw/master/csl-citation.json"}</w:instrText>
      </w:r>
      <w:r w:rsidRPr="00B3074D">
        <w:rPr>
          <w:rFonts w:ascii="Times New Roman" w:hAnsi="Times New Roman" w:cs="Times New Roman"/>
        </w:rPr>
        <w:fldChar w:fldCharType="separate"/>
      </w:r>
      <w:r w:rsidR="006067D4" w:rsidRPr="006067D4">
        <w:rPr>
          <w:rFonts w:ascii="Times New Roman" w:hAnsi="Times New Roman" w:cs="Times New Roman"/>
          <w:noProof/>
        </w:rPr>
        <w:t>(61, 62)</w:t>
      </w:r>
      <w:r w:rsidRPr="00B3074D">
        <w:rPr>
          <w:rFonts w:ascii="Times New Roman" w:hAnsi="Times New Roman" w:cs="Times New Roman"/>
        </w:rPr>
        <w:fldChar w:fldCharType="end"/>
      </w:r>
      <w:r w:rsidRPr="00B3074D">
        <w:rPr>
          <w:rFonts w:ascii="Times New Roman" w:hAnsi="Times New Roman" w:cs="Times New Roman"/>
        </w:rPr>
        <w:t xml:space="preserve"> and the fact that we used a relatively low rate of herbicide in our applications</w:t>
      </w:r>
      <w:r w:rsidRPr="00B3074D">
        <w:rPr>
          <w:rFonts w:ascii="Times New Roman" w:hAnsi="Times New Roman" w:cs="Times New Roman"/>
          <w:color w:val="000000" w:themeColor="text1"/>
          <w:shd w:val="clear" w:color="auto" w:fill="FFFFFF"/>
        </w:rPr>
        <w:t xml:space="preserve">. With respect to herbicide application in agricultural systems, it appears that direct effects on microbial function are few and short lasting and that in heavily managed, traditional agricultural systems, the choice of herbicide has little direct effect on soil function and that the observed effects are instead mediated though indirect pathways, like shifts in vegetation cover. </w:t>
      </w:r>
    </w:p>
    <w:p w14:paraId="517D8493" w14:textId="3DA53458" w:rsidR="00B3074D" w:rsidRDefault="00B3074D" w:rsidP="00B3074D">
      <w:pPr>
        <w:spacing w:line="480" w:lineRule="auto"/>
        <w:rPr>
          <w:rFonts w:ascii="Times New Roman" w:hAnsi="Times New Roman" w:cs="Times New Roman"/>
          <w:color w:val="000000" w:themeColor="text1"/>
          <w:shd w:val="clear" w:color="auto" w:fill="FFFFFF"/>
        </w:rPr>
      </w:pPr>
    </w:p>
    <w:p w14:paraId="11AE31F3" w14:textId="2341ACD7" w:rsidR="006067D4" w:rsidRPr="006067D4" w:rsidRDefault="002F4D3B" w:rsidP="006067D4">
      <w:pPr>
        <w:widowControl w:val="0"/>
        <w:autoSpaceDE w:val="0"/>
        <w:autoSpaceDN w:val="0"/>
        <w:adjustRightInd w:val="0"/>
        <w:spacing w:line="480" w:lineRule="auto"/>
        <w:ind w:left="640" w:hanging="640"/>
        <w:rPr>
          <w:rFonts w:ascii="Times New Roman" w:hAnsi="Times New Roman" w:cs="Times New Roman"/>
          <w:noProof/>
        </w:rPr>
      </w:pPr>
      <w:r>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 xml:space="preserve">ADDIN Mendeley Bibliography CSL_BIBLIOGRAPHY </w:instrText>
      </w:r>
      <w:r>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rPr>
        <w:t xml:space="preserve">1. </w:t>
      </w:r>
      <w:r w:rsidR="006067D4" w:rsidRPr="006067D4">
        <w:rPr>
          <w:rFonts w:ascii="Times New Roman" w:hAnsi="Times New Roman" w:cs="Times New Roman"/>
          <w:noProof/>
        </w:rPr>
        <w:tab/>
        <w:t>Benbrook CM. 2012. Impacts of genetically engineered crops on pesticide use in the U.S.-the first sixteen years. Environ Sci Eur 24:1–13.</w:t>
      </w:r>
    </w:p>
    <w:p w14:paraId="62BF0188"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2. </w:t>
      </w:r>
      <w:r w:rsidRPr="006067D4">
        <w:rPr>
          <w:rFonts w:ascii="Times New Roman" w:hAnsi="Times New Roman" w:cs="Times New Roman"/>
          <w:noProof/>
        </w:rPr>
        <w:tab/>
        <w:t>Rose MT, Cavagnaro TR, Scanlan CA, Rose TJ, Vancov T, Kimber S, Kennedy IR, Kookana RS, Van Zwieten L. 2016. Impact of Herbicides on Soil Biology and FunctionAdvances in Agronomy. Elsevier Inc.</w:t>
      </w:r>
    </w:p>
    <w:p w14:paraId="54AA9878"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lastRenderedPageBreak/>
        <w:t xml:space="preserve">3. </w:t>
      </w:r>
      <w:r w:rsidRPr="006067D4">
        <w:rPr>
          <w:rFonts w:ascii="Times New Roman" w:hAnsi="Times New Roman" w:cs="Times New Roman"/>
          <w:noProof/>
        </w:rPr>
        <w:tab/>
        <w:t>Palm C, Blanco-Canqui H, DeClerck F, Gatere L, Grace P. 2014. Conservation agriculture and ecosystem services: An overview. Agric Ecosyst Environ 187:87–105.</w:t>
      </w:r>
    </w:p>
    <w:p w14:paraId="2FA81A2C"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4. </w:t>
      </w:r>
      <w:r w:rsidRPr="006067D4">
        <w:rPr>
          <w:rFonts w:ascii="Times New Roman" w:hAnsi="Times New Roman" w:cs="Times New Roman"/>
          <w:noProof/>
        </w:rPr>
        <w:tab/>
        <w:t>Tu CM, Bollen WB. 1968. Interaction between Paraquat and microbes in soils. Weed Res 8:38–45.</w:t>
      </w:r>
    </w:p>
    <w:p w14:paraId="5F00D702"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5. </w:t>
      </w:r>
      <w:r w:rsidRPr="006067D4">
        <w:rPr>
          <w:rFonts w:ascii="Times New Roman" w:hAnsi="Times New Roman" w:cs="Times New Roman"/>
          <w:noProof/>
        </w:rPr>
        <w:tab/>
        <w:t>Nguyen DB, Rose MT, Rose TJ, Morris SG, van Zwieten L. 2016. Impact of glyphosate on soil microbial biomass and respiration: A meta-analysis. Soil Biol Biochem 92:50–57.</w:t>
      </w:r>
    </w:p>
    <w:p w14:paraId="3E455D70"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6. </w:t>
      </w:r>
      <w:r w:rsidRPr="006067D4">
        <w:rPr>
          <w:rFonts w:ascii="Times New Roman" w:hAnsi="Times New Roman" w:cs="Times New Roman"/>
          <w:noProof/>
        </w:rPr>
        <w:tab/>
        <w:t>Álvarez-Martín A, Hilton SL, Bending GD, Rodríguez-Cruz MS, Sánchez-Martín MJ. 2016. Changes in activity and structure of the soil microbial community after application of azoxystrobin or pirimicarb and an organic amendment to an agricultural soil. Appl Soil Ecol 106:47–57.</w:t>
      </w:r>
    </w:p>
    <w:p w14:paraId="061E793E"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7. </w:t>
      </w:r>
      <w:r w:rsidRPr="006067D4">
        <w:rPr>
          <w:rFonts w:ascii="Times New Roman" w:hAnsi="Times New Roman" w:cs="Times New Roman"/>
          <w:noProof/>
        </w:rPr>
        <w:tab/>
        <w:t>Liao H, Li X, Yang Q, Bai Y, Cui P, Wen C, Liu C, Chen Z. 2021. Herbicide selection promotes antibiotic resistance in soil microbiomes.</w:t>
      </w:r>
    </w:p>
    <w:p w14:paraId="5A1DF40C"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8. </w:t>
      </w:r>
      <w:r w:rsidRPr="006067D4">
        <w:rPr>
          <w:rFonts w:ascii="Times New Roman" w:hAnsi="Times New Roman" w:cs="Times New Roman"/>
          <w:noProof/>
        </w:rPr>
        <w:tab/>
        <w:t>de Souza R, Ambrosini A, Passaglia LMP. 2015. Plant growth-promoting bacteria as inoculants in agricultural soils. Genet Mol Biol 38:401–419.</w:t>
      </w:r>
    </w:p>
    <w:p w14:paraId="4A2856DC"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9. </w:t>
      </w:r>
      <w:r w:rsidRPr="006067D4">
        <w:rPr>
          <w:rFonts w:ascii="Times New Roman" w:hAnsi="Times New Roman" w:cs="Times New Roman"/>
          <w:noProof/>
        </w:rPr>
        <w:tab/>
        <w:t>Durán P, Thiergart T, Garrido-Oter R, Agler M, Kemen E, Schulze-Lefert P, Hacquard S. 2018. Microbial Interkingdom Interactions in Roots Promote Arabidopsis Survival. Cell 175:973–983.</w:t>
      </w:r>
    </w:p>
    <w:p w14:paraId="08992259"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10. </w:t>
      </w:r>
      <w:r w:rsidRPr="006067D4">
        <w:rPr>
          <w:rFonts w:ascii="Times New Roman" w:hAnsi="Times New Roman" w:cs="Times New Roman"/>
          <w:noProof/>
        </w:rPr>
        <w:tab/>
        <w:t>Chen C., Condron L., Davis M., Sherlock R. 2002. Phosphorus dynamics in the rhizosphere of perennial ryegrass (Lolium perenne L.) and radiata pine (Pinus radiata D. Don.). Soil Biol Biochem 34:487–499.</w:t>
      </w:r>
    </w:p>
    <w:p w14:paraId="75C75D70"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11. </w:t>
      </w:r>
      <w:r w:rsidRPr="006067D4">
        <w:rPr>
          <w:rFonts w:ascii="Times New Roman" w:hAnsi="Times New Roman" w:cs="Times New Roman"/>
          <w:noProof/>
        </w:rPr>
        <w:tab/>
        <w:t>Richardson AE, Barea J-M, McNeill AM, Prigent-Combaret C. 2009. Acquisition of phosphorus and nitrogen in the rhizosphere and plant growth promotion by microorganisms. Plant Soil 321:305–339.</w:t>
      </w:r>
    </w:p>
    <w:p w14:paraId="7C5878DC"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lastRenderedPageBreak/>
        <w:t xml:space="preserve">12. </w:t>
      </w:r>
      <w:r w:rsidRPr="006067D4">
        <w:rPr>
          <w:rFonts w:ascii="Times New Roman" w:hAnsi="Times New Roman" w:cs="Times New Roman"/>
          <w:noProof/>
        </w:rPr>
        <w:tab/>
        <w:t>Richardson AE, Simpson RJ. 2011. Soil Microorganisms Mediating Phosphorus Availability Update on Microbial Phosphorus. Plant Physiol 156:989–996.</w:t>
      </w:r>
    </w:p>
    <w:p w14:paraId="692194C4"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13. </w:t>
      </w:r>
      <w:r w:rsidRPr="006067D4">
        <w:rPr>
          <w:rFonts w:ascii="Times New Roman" w:hAnsi="Times New Roman" w:cs="Times New Roman"/>
          <w:noProof/>
        </w:rPr>
        <w:tab/>
        <w:t>Garcia J, Kao-Kniffin J. 2018. Microbial Group Dynamics in Plant Rhizospheres and Their Implications on Nutrient Cycling. Front Microbiol 9:1–7.</w:t>
      </w:r>
    </w:p>
    <w:p w14:paraId="4855255A"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14. </w:t>
      </w:r>
      <w:r w:rsidRPr="006067D4">
        <w:rPr>
          <w:rFonts w:ascii="Times New Roman" w:hAnsi="Times New Roman" w:cs="Times New Roman"/>
          <w:noProof/>
        </w:rPr>
        <w:tab/>
        <w:t>Sandhu HS, Wratten SD, Cullen R, Case B. 2008. The future of farming: The value of ecosystem services in conventional and organic arable land. An experimental approach. Ecol Econ 64:835–848.</w:t>
      </w:r>
    </w:p>
    <w:p w14:paraId="0586DB18"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15. </w:t>
      </w:r>
      <w:r w:rsidRPr="006067D4">
        <w:rPr>
          <w:rFonts w:ascii="Times New Roman" w:hAnsi="Times New Roman" w:cs="Times New Roman"/>
          <w:noProof/>
        </w:rPr>
        <w:tab/>
        <w:t>Imfeld G, Vuilleumier S. 2012. Measuring the effects of pesticides on bacterial communities in soil: A critical review. Eur J Soil Biol 49:22–30.</w:t>
      </w:r>
    </w:p>
    <w:p w14:paraId="218FE2B1"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16. </w:t>
      </w:r>
      <w:r w:rsidRPr="006067D4">
        <w:rPr>
          <w:rFonts w:ascii="Times New Roman" w:hAnsi="Times New Roman" w:cs="Times New Roman"/>
          <w:noProof/>
        </w:rPr>
        <w:tab/>
        <w:t>Bünemann EK, Schwenke GD, Van Zwieten L. 2006. Impact of agricultural inputs on soil organisms - A review. Aust J Soil Res 44:379–406.</w:t>
      </w:r>
    </w:p>
    <w:p w14:paraId="27F851E8"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17. </w:t>
      </w:r>
      <w:r w:rsidRPr="006067D4">
        <w:rPr>
          <w:rFonts w:ascii="Times New Roman" w:hAnsi="Times New Roman" w:cs="Times New Roman"/>
          <w:noProof/>
        </w:rPr>
        <w:tab/>
        <w:t>Puglisi E. 2017. Response of microbial organisms (aquatic and terrestrial) to pesticides. EFSA Support Publ 9.</w:t>
      </w:r>
    </w:p>
    <w:p w14:paraId="7C6AEE32"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18. </w:t>
      </w:r>
      <w:r w:rsidRPr="006067D4">
        <w:rPr>
          <w:rFonts w:ascii="Times New Roman" w:hAnsi="Times New Roman" w:cs="Times New Roman"/>
          <w:noProof/>
        </w:rPr>
        <w:tab/>
        <w:t>Thiour-Mauprivez C, Martin-Laurent F, Calvayrac C, Barthelmebs L. 2019. Effects of herbicide on non-target microorganisms: Towards a new class of biomarkers? Sci Total Environ 684:314–325.</w:t>
      </w:r>
    </w:p>
    <w:p w14:paraId="2D40E7DB"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19. </w:t>
      </w:r>
      <w:r w:rsidRPr="006067D4">
        <w:rPr>
          <w:rFonts w:ascii="Times New Roman" w:hAnsi="Times New Roman" w:cs="Times New Roman"/>
          <w:noProof/>
        </w:rPr>
        <w:tab/>
        <w:t>Weidenhamer JD, Callaway RM. 2010. Direct and Indirect Effects of Invasive Plants on Soil Chemistry and Ecosystem Function. J Chem Ecol 36:59–69.</w:t>
      </w:r>
    </w:p>
    <w:p w14:paraId="2E0B816B"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20. </w:t>
      </w:r>
      <w:r w:rsidRPr="006067D4">
        <w:rPr>
          <w:rFonts w:ascii="Times New Roman" w:hAnsi="Times New Roman" w:cs="Times New Roman"/>
          <w:noProof/>
        </w:rPr>
        <w:tab/>
        <w:t>Lekberg Y, Wagner V, Rummel A, McLeod M, Ramsey PW. 2017. Strong indirect herbicide effects on mycorrhizal associations through plant community shifts and secondary invasions. Ecol Appl.</w:t>
      </w:r>
    </w:p>
    <w:p w14:paraId="0A70BCF1"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21. </w:t>
      </w:r>
      <w:r w:rsidRPr="006067D4">
        <w:rPr>
          <w:rFonts w:ascii="Times New Roman" w:hAnsi="Times New Roman" w:cs="Times New Roman"/>
          <w:noProof/>
        </w:rPr>
        <w:tab/>
        <w:t xml:space="preserve">García-Delgado C, Barba-Vicente V, Marín-Benito JM, Mariano Igual J, Sánchez-Martín MJ, Sonia Rodríguez-Cruz M. 2019. Influence of different agricultural management </w:t>
      </w:r>
      <w:r w:rsidRPr="006067D4">
        <w:rPr>
          <w:rFonts w:ascii="Times New Roman" w:hAnsi="Times New Roman" w:cs="Times New Roman"/>
          <w:noProof/>
        </w:rPr>
        <w:lastRenderedPageBreak/>
        <w:t>practices on soil microbial community over dissipation time of two herbicides. Sci Total Environ 646:1478–1488.</w:t>
      </w:r>
    </w:p>
    <w:p w14:paraId="220D1F94"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22. </w:t>
      </w:r>
      <w:r w:rsidRPr="006067D4">
        <w:rPr>
          <w:rFonts w:ascii="Times New Roman" w:hAnsi="Times New Roman" w:cs="Times New Roman"/>
          <w:noProof/>
        </w:rPr>
        <w:tab/>
        <w:t>García-Delgado C, Barba V, Marín-Benito JM, Igual JM, Sánchez-Martín MJ, Rodríguez-Cruz MS. 2018. Simultaneous application of two herbicides and green compost in a field experiment: Implications on soil microbial community. Appl Soil Ecol 127:30–40.</w:t>
      </w:r>
    </w:p>
    <w:p w14:paraId="6C8122D1"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23. </w:t>
      </w:r>
      <w:r w:rsidRPr="006067D4">
        <w:rPr>
          <w:rFonts w:ascii="Times New Roman" w:hAnsi="Times New Roman" w:cs="Times New Roman"/>
          <w:noProof/>
        </w:rPr>
        <w:tab/>
        <w:t>Zabaloy MC, Allegrini M, Tebbe DA, Schuster K, Gomez E del V. 2017. Nitrifying bacteria and archaea withstanding glyphosate in fertilized soil microcosms. Appl Soil Ecol 117–118:88–95.</w:t>
      </w:r>
    </w:p>
    <w:p w14:paraId="312192A7"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24. </w:t>
      </w:r>
      <w:r w:rsidRPr="006067D4">
        <w:rPr>
          <w:rFonts w:ascii="Times New Roman" w:hAnsi="Times New Roman" w:cs="Times New Roman"/>
          <w:noProof/>
        </w:rPr>
        <w:tab/>
        <w:t>Riah W, Laval K, Laroche-Ajzenberg E, Mougin C, Latour X, Trinsoutrot-Gattin I. 2014. Effects of pesticides on soil enzymes: A review. Environ Chem Lett 12:257–273.</w:t>
      </w:r>
    </w:p>
    <w:p w14:paraId="7003EBB4"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25. </w:t>
      </w:r>
      <w:r w:rsidRPr="006067D4">
        <w:rPr>
          <w:rFonts w:ascii="Times New Roman" w:hAnsi="Times New Roman" w:cs="Times New Roman"/>
          <w:noProof/>
        </w:rPr>
        <w:tab/>
        <w:t>Hernández M, Jia Z, Conrad R, Seeger M. 2011. Simazine application inhibits nitrification and changes the ammonia-oxidizing bacterial communities in a fertilized agricultural soil. FEMS Microbiol Ecol 78:511–519.</w:t>
      </w:r>
    </w:p>
    <w:p w14:paraId="61764CD4"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26. </w:t>
      </w:r>
      <w:r w:rsidRPr="006067D4">
        <w:rPr>
          <w:rFonts w:ascii="Times New Roman" w:hAnsi="Times New Roman" w:cs="Times New Roman"/>
          <w:noProof/>
        </w:rPr>
        <w:tab/>
        <w:t>Hagner M, Mikola J, Saloniemi I, Saikkonen K, Helander M. 2019. Effects of a glyphosate-based herbicide on soil animal trophic groups and associated ecosystem functioning in a northern agricultural field. Sci Rep 9:8540.</w:t>
      </w:r>
    </w:p>
    <w:p w14:paraId="126E4559"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27. </w:t>
      </w:r>
      <w:r w:rsidRPr="006067D4">
        <w:rPr>
          <w:rFonts w:ascii="Times New Roman" w:hAnsi="Times New Roman" w:cs="Times New Roman"/>
          <w:noProof/>
        </w:rPr>
        <w:tab/>
        <w:t>Brempong MB, Norton U, Norton JB. 2019. Compost and soil moisture effects on seasonal carbon and nitrogen dynamics, greenhouse gas fluxes and global warming potential of semi-arid soils. Int J Recycl Org Waste Agric 8:367–376.</w:t>
      </w:r>
    </w:p>
    <w:p w14:paraId="2B672320"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28. </w:t>
      </w:r>
      <w:r w:rsidRPr="006067D4">
        <w:rPr>
          <w:rFonts w:ascii="Times New Roman" w:hAnsi="Times New Roman" w:cs="Times New Roman"/>
          <w:noProof/>
        </w:rPr>
        <w:tab/>
        <w:t xml:space="preserve"> 2020. Standard Methods Online -- Standard Methods for the Examination of Water and Wastewater.</w:t>
      </w:r>
    </w:p>
    <w:p w14:paraId="2EBB5A84"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29. </w:t>
      </w:r>
      <w:r w:rsidRPr="006067D4">
        <w:rPr>
          <w:rFonts w:ascii="Times New Roman" w:hAnsi="Times New Roman" w:cs="Times New Roman"/>
          <w:noProof/>
        </w:rPr>
        <w:tab/>
        <w:t xml:space="preserve">Bell CW, Fricks BE, Rocca JD, Steinweg JM, McMahon SK, Wallenstein MD. 2013. High-throughput Fluorometric Measurement of Potential Soil Extracellular Enzyme </w:t>
      </w:r>
      <w:r w:rsidRPr="006067D4">
        <w:rPr>
          <w:rFonts w:ascii="Times New Roman" w:hAnsi="Times New Roman" w:cs="Times New Roman"/>
          <w:noProof/>
        </w:rPr>
        <w:lastRenderedPageBreak/>
        <w:t>Activities. J Vis Exp 1–16.</w:t>
      </w:r>
    </w:p>
    <w:p w14:paraId="648C5643"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30. </w:t>
      </w:r>
      <w:r w:rsidRPr="006067D4">
        <w:rPr>
          <w:rFonts w:ascii="Times New Roman" w:hAnsi="Times New Roman" w:cs="Times New Roman"/>
          <w:noProof/>
        </w:rPr>
        <w:tab/>
        <w:t>Saiya-Cork K., Sinsabaugh R., Zak D. 2002. The effects of long term nitrogen deposition on extracellular enzyme activity in an &lt;i&gt;Acer saccharum&lt;i&gt; forest soil. Soil Biol Biochem 34:1309–1315.</w:t>
      </w:r>
    </w:p>
    <w:p w14:paraId="76D64026"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31. </w:t>
      </w:r>
      <w:r w:rsidRPr="006067D4">
        <w:rPr>
          <w:rFonts w:ascii="Times New Roman" w:hAnsi="Times New Roman" w:cs="Times New Roman"/>
          <w:noProof/>
        </w:rPr>
        <w:tab/>
        <w:t>Van Diepen LTA, Frey SD, Sthultz CM, Morrison EW, Minocha R, Pringle A. 2015. Changes in litter quality caused by simulated nitrogen deposition reinforce the N-induced suppression of litter decay. Ecosphere 6:1–16.</w:t>
      </w:r>
    </w:p>
    <w:p w14:paraId="1467DCA8"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32. </w:t>
      </w:r>
      <w:r w:rsidRPr="006067D4">
        <w:rPr>
          <w:rFonts w:ascii="Times New Roman" w:hAnsi="Times New Roman" w:cs="Times New Roman"/>
          <w:noProof/>
        </w:rPr>
        <w:tab/>
        <w:t>DeForest JL. 2009. The influence of time, storage temperature, and substrate age on potential soil enzyme activity in acidic forest soils using MUB-linked substrates and l-DOPA. Soil Biol Biochem 41:1180–1186.</w:t>
      </w:r>
    </w:p>
    <w:p w14:paraId="6F88CD67"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33. </w:t>
      </w:r>
      <w:r w:rsidRPr="006067D4">
        <w:rPr>
          <w:rFonts w:ascii="Times New Roman" w:hAnsi="Times New Roman" w:cs="Times New Roman"/>
          <w:noProof/>
        </w:rPr>
        <w:tab/>
        <w:t>Custer GF, VanDiepen LTA, Stump WL. 2020. Structural and functional dynamics of soil microbes following spruce beetle infestation. Appl Environ Microbiol 86:1–19.</w:t>
      </w:r>
    </w:p>
    <w:p w14:paraId="6E3CE758"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34. </w:t>
      </w:r>
      <w:r w:rsidRPr="006067D4">
        <w:rPr>
          <w:rFonts w:ascii="Times New Roman" w:hAnsi="Times New Roman" w:cs="Times New Roman"/>
          <w:noProof/>
        </w:rPr>
        <w:tab/>
        <w:t>German DP, Weintraub MN, Grandy AS, Lauber CL, Rinkes ZL, Allison SD. 2011. Optimization of hydrolytic and oxidative enzyme methods for ecosystem studies. Soil Biol Biochem 43:1387–1397.</w:t>
      </w:r>
    </w:p>
    <w:p w14:paraId="31840FC8"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35. </w:t>
      </w:r>
      <w:r w:rsidRPr="006067D4">
        <w:rPr>
          <w:rFonts w:ascii="Times New Roman" w:hAnsi="Times New Roman" w:cs="Times New Roman"/>
          <w:noProof/>
        </w:rPr>
        <w:tab/>
        <w:t>Parada AE, Needham DM, Fuhrman JA. 2016. Every base matters: Assessing small subunit rRNA primers for marine microbiomes with mock communities, time series and global field samples. Environ Microbiol 18:1403–1414.</w:t>
      </w:r>
    </w:p>
    <w:p w14:paraId="325E4C64"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36. </w:t>
      </w:r>
      <w:r w:rsidRPr="006067D4">
        <w:rPr>
          <w:rFonts w:ascii="Times New Roman" w:hAnsi="Times New Roman" w:cs="Times New Roman"/>
          <w:noProof/>
        </w:rPr>
        <w:tab/>
        <w:t>Apprill A, Mcnally S, Parsons R, Weber L. 2015. Minor revision to V4 region SSU rRNA 806R gene primer greatly increases detection of SAR11 bacterioplankton. Aquat Microb Ecol 75:129–137.</w:t>
      </w:r>
    </w:p>
    <w:p w14:paraId="66A55EE9"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37. </w:t>
      </w:r>
      <w:r w:rsidRPr="006067D4">
        <w:rPr>
          <w:rFonts w:ascii="Times New Roman" w:hAnsi="Times New Roman" w:cs="Times New Roman"/>
          <w:noProof/>
        </w:rPr>
        <w:tab/>
        <w:t>Gardes M, Bruns TD. 1993. ITS primers with enhanced specificity for basidiomycetes ‐ application to the identification of mycorrhizae and rusts. Mol Ecol 2:113–118.</w:t>
      </w:r>
    </w:p>
    <w:p w14:paraId="7136EE87"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lastRenderedPageBreak/>
        <w:t xml:space="preserve">38. </w:t>
      </w:r>
      <w:r w:rsidRPr="006067D4">
        <w:rPr>
          <w:rFonts w:ascii="Times New Roman" w:hAnsi="Times New Roman" w:cs="Times New Roman"/>
          <w:noProof/>
        </w:rPr>
        <w:tab/>
        <w:t xml:space="preserve">White TJ, Bruns T, Lee S, Taylor J. 1990. Amplification and direct sequencing of fungal ribosomal RNA genes for phylogenetics, p. 315–322. </w:t>
      </w:r>
      <w:r w:rsidRPr="006067D4">
        <w:rPr>
          <w:rFonts w:ascii="Times New Roman" w:hAnsi="Times New Roman" w:cs="Times New Roman"/>
          <w:i/>
          <w:iCs/>
          <w:noProof/>
        </w:rPr>
        <w:t>In</w:t>
      </w:r>
      <w:r w:rsidRPr="006067D4">
        <w:rPr>
          <w:rFonts w:ascii="Times New Roman" w:hAnsi="Times New Roman" w:cs="Times New Roman"/>
          <w:noProof/>
        </w:rPr>
        <w:t xml:space="preserve"> PCR Protocols. Elsevier.</w:t>
      </w:r>
    </w:p>
    <w:p w14:paraId="6369A1BC"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39. </w:t>
      </w:r>
      <w:r w:rsidRPr="006067D4">
        <w:rPr>
          <w:rFonts w:ascii="Times New Roman" w:hAnsi="Times New Roman" w:cs="Times New Roman"/>
          <w:noProof/>
        </w:rPr>
        <w:tab/>
        <w:t>R Development Core Team. 2020. A Language and Environment for Statistical Computing. R Found Stat Comput. Vienna, Austria.</w:t>
      </w:r>
    </w:p>
    <w:p w14:paraId="666E8A54"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40. </w:t>
      </w:r>
      <w:r w:rsidRPr="006067D4">
        <w:rPr>
          <w:rFonts w:ascii="Times New Roman" w:hAnsi="Times New Roman" w:cs="Times New Roman"/>
          <w:noProof/>
        </w:rPr>
        <w:tab/>
        <w:t>Oksanen J, Blanchet FG, Friendly M, Kindt R, Legendre P, McGlinn D, Minchin PR, O’Hara RB, L. G, Simpson P, Solymos M, Stevens HH, Szoecs E, Wagner H. 2018. vegan: Community Ecology Package. R package version 2.5-2.</w:t>
      </w:r>
    </w:p>
    <w:p w14:paraId="39BD9AF9"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41. </w:t>
      </w:r>
      <w:r w:rsidRPr="006067D4">
        <w:rPr>
          <w:rFonts w:ascii="Times New Roman" w:hAnsi="Times New Roman" w:cs="Times New Roman"/>
          <w:noProof/>
        </w:rPr>
        <w:tab/>
        <w:t>McMurdie PJ, Holmes S. 2013. phyloseq: An R Package for Reproducible Interactive Analysis and Graphics of Microbiome Census Data. PLoS One 8:1–11.</w:t>
      </w:r>
    </w:p>
    <w:p w14:paraId="39EF0FDC"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42. </w:t>
      </w:r>
      <w:r w:rsidRPr="006067D4">
        <w:rPr>
          <w:rFonts w:ascii="Times New Roman" w:hAnsi="Times New Roman" w:cs="Times New Roman"/>
          <w:noProof/>
        </w:rPr>
        <w:tab/>
        <w:t>Harrison JG, Calder WJ, Shastry V, Buerkle CA. 2020. Dirichlet‐multinomial modelling outperforms alternatives for analysis of microbiome and other ecological count data. Mol Ecol Resour 20:481–497.</w:t>
      </w:r>
    </w:p>
    <w:p w14:paraId="234036C0"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43. </w:t>
      </w:r>
      <w:r w:rsidRPr="006067D4">
        <w:rPr>
          <w:rFonts w:ascii="Times New Roman" w:hAnsi="Times New Roman" w:cs="Times New Roman"/>
          <w:noProof/>
        </w:rPr>
        <w:tab/>
        <w:t>Kursa MB, Rudnicki WR. 2020. Boruta: Wrapper Algorithm for All Relevant Feature Selection.</w:t>
      </w:r>
    </w:p>
    <w:p w14:paraId="718136B1"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44. </w:t>
      </w:r>
      <w:r w:rsidRPr="006067D4">
        <w:rPr>
          <w:rFonts w:ascii="Times New Roman" w:hAnsi="Times New Roman" w:cs="Times New Roman"/>
          <w:noProof/>
        </w:rPr>
        <w:tab/>
        <w:t>Yu Y, Zhang H, Zhou Q. 2011. Using soil available P and activities of soil dehydrogenase and phosphatase as indicators for biodegradation of organophosphorus pesticide methamidophos and glyphosate. Soil Sediment Contam 20:688–701.</w:t>
      </w:r>
    </w:p>
    <w:p w14:paraId="051C276E"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45. </w:t>
      </w:r>
      <w:r w:rsidRPr="006067D4">
        <w:rPr>
          <w:rFonts w:ascii="Times New Roman" w:hAnsi="Times New Roman" w:cs="Times New Roman"/>
          <w:noProof/>
        </w:rPr>
        <w:tab/>
        <w:t>Berg B, McClaugherty C. 2014. Plant LitterCarbon. Springer Berlin Heidelberg, Berlin, Heidelberg.</w:t>
      </w:r>
    </w:p>
    <w:p w14:paraId="242155A5"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46. </w:t>
      </w:r>
      <w:r w:rsidRPr="006067D4">
        <w:rPr>
          <w:rFonts w:ascii="Times New Roman" w:hAnsi="Times New Roman" w:cs="Times New Roman"/>
          <w:noProof/>
        </w:rPr>
        <w:tab/>
        <w:t>Damin V, Triveli P. 2011. Herbicides Effect on Nitrogen Cycling in AgroecossystemsHerbicides and Environment. InTech.</w:t>
      </w:r>
    </w:p>
    <w:p w14:paraId="2DDF54A3"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47. </w:t>
      </w:r>
      <w:r w:rsidRPr="006067D4">
        <w:rPr>
          <w:rFonts w:ascii="Times New Roman" w:hAnsi="Times New Roman" w:cs="Times New Roman"/>
          <w:noProof/>
        </w:rPr>
        <w:tab/>
        <w:t xml:space="preserve">Mahía J, González-Prieto SJ, Martín A, Bååth E, Díaz-Raviña M. 2011. Biochemical properties and microbial community structure of five different soils after atrazine addition. </w:t>
      </w:r>
      <w:r w:rsidRPr="006067D4">
        <w:rPr>
          <w:rFonts w:ascii="Times New Roman" w:hAnsi="Times New Roman" w:cs="Times New Roman"/>
          <w:noProof/>
        </w:rPr>
        <w:lastRenderedPageBreak/>
        <w:t>Biol Fertil Soils 47:577–589.</w:t>
      </w:r>
    </w:p>
    <w:p w14:paraId="6BBEC5CE"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48. </w:t>
      </w:r>
      <w:r w:rsidRPr="006067D4">
        <w:rPr>
          <w:rFonts w:ascii="Times New Roman" w:hAnsi="Times New Roman" w:cs="Times New Roman"/>
          <w:noProof/>
        </w:rPr>
        <w:tab/>
        <w:t>Millard P, Singh BK. 2010. Does grassland vegetation drive soil microbial diversity? Nutr Cycl Agroecosystems 88:147–158.</w:t>
      </w:r>
    </w:p>
    <w:p w14:paraId="10B772D0"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49. </w:t>
      </w:r>
      <w:r w:rsidRPr="006067D4">
        <w:rPr>
          <w:rFonts w:ascii="Times New Roman" w:hAnsi="Times New Roman" w:cs="Times New Roman"/>
          <w:noProof/>
        </w:rPr>
        <w:tab/>
        <w:t>Prober SM, Leff JW, Bates ST, Borer ET, Firn J, Harpole WS, Lind EM, Seabloom EW, Adler PB, Bakker JD, Cleland EE, DeCrappeo NM, DeLorenze E, Hagenah N, Hautier Y, Hofmockel KS, Kirkman KP, Knops JMH, La Pierre KJ, MacDougall AS, McCulley RL, Mitchell CE, Risch AC, Schuetz M, Stevens CJ, Williams RJ, Fierer N. 2015. Plant diversity predicts beta but not alpha diversity of soil microbes across grasslands worldwide. Ecol Lett 18:85–95.</w:t>
      </w:r>
    </w:p>
    <w:p w14:paraId="68BC5C84"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50. </w:t>
      </w:r>
      <w:r w:rsidRPr="006067D4">
        <w:rPr>
          <w:rFonts w:ascii="Times New Roman" w:hAnsi="Times New Roman" w:cs="Times New Roman"/>
          <w:noProof/>
        </w:rPr>
        <w:tab/>
        <w:t>Hébert M, Fugère V, Gonzalez A. 2019. The overlooked impact of rising glyphosate use on phosphorus loading in agricultural watersheds. Front Ecol Environ 17:48–56.</w:t>
      </w:r>
    </w:p>
    <w:p w14:paraId="1D3634AF"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51. </w:t>
      </w:r>
      <w:r w:rsidRPr="006067D4">
        <w:rPr>
          <w:rFonts w:ascii="Times New Roman" w:hAnsi="Times New Roman" w:cs="Times New Roman"/>
          <w:noProof/>
        </w:rPr>
        <w:tab/>
        <w:t>West SA, Diggle SP, Buckling A, Gardner A, Griffin AS. 2007. The Social Lives of Microbes. Annu Rev Ecol Evol Syst 38:53–77.</w:t>
      </w:r>
    </w:p>
    <w:p w14:paraId="438FD34C"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52. </w:t>
      </w:r>
      <w:r w:rsidRPr="006067D4">
        <w:rPr>
          <w:rFonts w:ascii="Times New Roman" w:hAnsi="Times New Roman" w:cs="Times New Roman"/>
          <w:noProof/>
        </w:rPr>
        <w:tab/>
        <w:t>Płatkowski M, Telesiński A. 2016. Response of soil phosphatases to glyphosate and its formulations – Roundup (laboratory conditions). Plant, Soil Environ 62:286–292.</w:t>
      </w:r>
    </w:p>
    <w:p w14:paraId="7FA9ED83"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53. </w:t>
      </w:r>
      <w:r w:rsidRPr="006067D4">
        <w:rPr>
          <w:rFonts w:ascii="Times New Roman" w:hAnsi="Times New Roman" w:cs="Times New Roman"/>
          <w:noProof/>
        </w:rPr>
        <w:tab/>
        <w:t>Cherni AE, Trabelsi D, Chebil S, Barhoumi F, Rodríguez-Llorente ID, Zribi K. 2015. Effect of Glyphosate on Enzymatic Activities, Rhizobiaceae and Total Bacterial Communities in an Agricultural Tunisian Soil. Water, Air, Soil Pollut 226:145.</w:t>
      </w:r>
    </w:p>
    <w:p w14:paraId="3509B1CD"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54. </w:t>
      </w:r>
      <w:r w:rsidRPr="006067D4">
        <w:rPr>
          <w:rFonts w:ascii="Times New Roman" w:hAnsi="Times New Roman" w:cs="Times New Roman"/>
          <w:noProof/>
        </w:rPr>
        <w:tab/>
        <w:t>Ratcliff AW, Busse MD, Shestak CJ. 2006. Changes in microbial community structure following herbicide (glyphosate) additions to forest soils. Appl Soil Ecol 34:114–124.</w:t>
      </w:r>
    </w:p>
    <w:p w14:paraId="4FF6DF03"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55. </w:t>
      </w:r>
      <w:r w:rsidRPr="006067D4">
        <w:rPr>
          <w:rFonts w:ascii="Times New Roman" w:hAnsi="Times New Roman" w:cs="Times New Roman"/>
          <w:noProof/>
        </w:rPr>
        <w:tab/>
        <w:t>Zabaloy MC, Gómez MA. 2008. Microbial respiration in soils of the Argentine Pampas after metsulfuron methyl, 2,4-D, and glyphosate treatments. Commun Soil Sci Plant Anal 39:370–385.</w:t>
      </w:r>
    </w:p>
    <w:p w14:paraId="4CD65240"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lastRenderedPageBreak/>
        <w:t xml:space="preserve">56. </w:t>
      </w:r>
      <w:r w:rsidRPr="006067D4">
        <w:rPr>
          <w:rFonts w:ascii="Times New Roman" w:hAnsi="Times New Roman" w:cs="Times New Roman"/>
          <w:noProof/>
        </w:rPr>
        <w:tab/>
        <w:t>Accinelli C, Screpanti C, Dinelli G, Vicari A. 2002. Short-time effects of pure and formulated herbicides on soil microbial activity and biomass. Int J Environ Anal Chem 82:519–527.</w:t>
      </w:r>
    </w:p>
    <w:p w14:paraId="551E4B1F"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57. </w:t>
      </w:r>
      <w:r w:rsidRPr="006067D4">
        <w:rPr>
          <w:rFonts w:ascii="Times New Roman" w:hAnsi="Times New Roman" w:cs="Times New Roman"/>
          <w:noProof/>
        </w:rPr>
        <w:tab/>
        <w:t>Morant AV, Jørgensen K, Jørgensen C, Paquette SM, Sánchez-Pérez R, Møller BL, Bak S. 2008. β-Glucosidases as detonators of plant chemical defense. Phytochemistry 69:1795–1813.</w:t>
      </w:r>
    </w:p>
    <w:p w14:paraId="0634D75B"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58. </w:t>
      </w:r>
      <w:r w:rsidRPr="006067D4">
        <w:rPr>
          <w:rFonts w:ascii="Times New Roman" w:hAnsi="Times New Roman" w:cs="Times New Roman"/>
          <w:noProof/>
        </w:rPr>
        <w:tab/>
        <w:t>Scranton MA, Yee A, Park S, Walling LL. 2012. Plant Leucine Aminopeptidases Moonlight as Molecular Chaperones to Alleviate Stress-induced Damage. J Biol Chem 287:18408–18417.</w:t>
      </w:r>
    </w:p>
    <w:p w14:paraId="34367189"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59. </w:t>
      </w:r>
      <w:r w:rsidRPr="006067D4">
        <w:rPr>
          <w:rFonts w:ascii="Times New Roman" w:hAnsi="Times New Roman" w:cs="Times New Roman"/>
          <w:noProof/>
        </w:rPr>
        <w:tab/>
        <w:t>Gómez-Anduro G, Ceniceros-Ojeda EA, Casados-Vázquez LE, Bencivenni C, Sierra-Beltrán A, Murillo-Amador B, Tiessen A. 2011. Genome-wide analysis of the beta-glucosidase gene family in maize (Zea mays L. var B73). Plant Mol Biol 77:159–183.</w:t>
      </w:r>
    </w:p>
    <w:p w14:paraId="27AE6671"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60. </w:t>
      </w:r>
      <w:r w:rsidRPr="006067D4">
        <w:rPr>
          <w:rFonts w:ascii="Times New Roman" w:hAnsi="Times New Roman" w:cs="Times New Roman"/>
          <w:noProof/>
        </w:rPr>
        <w:tab/>
        <w:t>T. Sherene. 2017. Role of Soil Enzymes in Nutrient Transformation: A Review. Bio Bull 3 (1):109–131.</w:t>
      </w:r>
    </w:p>
    <w:p w14:paraId="689CD670"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61. </w:t>
      </w:r>
      <w:r w:rsidRPr="006067D4">
        <w:rPr>
          <w:rFonts w:ascii="Times New Roman" w:hAnsi="Times New Roman" w:cs="Times New Roman"/>
          <w:noProof/>
        </w:rPr>
        <w:tab/>
        <w:t>Talbot JM, Bruns TD, Taylor JW, Smith DP, Branco S, Glassman SI, Erlandson S, Vilgalys R, Liao H-L, Smith ME, Peay KG. 2014. Endemism and functional convergence across the North American soil mycobiome. Proc Natl Acad Sci 111:6341–6346.</w:t>
      </w:r>
    </w:p>
    <w:p w14:paraId="63DB7B46"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62. </w:t>
      </w:r>
      <w:r w:rsidRPr="006067D4">
        <w:rPr>
          <w:rFonts w:ascii="Times New Roman" w:hAnsi="Times New Roman" w:cs="Times New Roman"/>
          <w:noProof/>
        </w:rPr>
        <w:tab/>
        <w:t>Nielsen UN, Ayres E, Wall DH, Bardgett RD. 2011. Soil biodiversity and carbon cycling: a review and synthesis of studies examining diversity-function relationships. Eur J Soil Sci 62:105–116.</w:t>
      </w:r>
    </w:p>
    <w:p w14:paraId="05D5ED23" w14:textId="76151E8B" w:rsidR="002F4D3B" w:rsidRDefault="002F4D3B" w:rsidP="006067D4">
      <w:pPr>
        <w:widowControl w:val="0"/>
        <w:autoSpaceDE w:val="0"/>
        <w:autoSpaceDN w:val="0"/>
        <w:adjustRightInd w:val="0"/>
        <w:spacing w:line="480" w:lineRule="auto"/>
        <w:ind w:left="640" w:hanging="64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fldChar w:fldCharType="end"/>
      </w:r>
    </w:p>
    <w:p w14:paraId="73555E62" w14:textId="77777777" w:rsidR="002F4D3B" w:rsidRDefault="002F4D3B" w:rsidP="00B3074D">
      <w:pPr>
        <w:spacing w:line="480" w:lineRule="auto"/>
        <w:rPr>
          <w:rFonts w:ascii="Times New Roman" w:hAnsi="Times New Roman" w:cs="Times New Roman"/>
          <w:color w:val="000000" w:themeColor="text1"/>
          <w:shd w:val="clear" w:color="auto" w:fill="FFFFFF"/>
        </w:rPr>
      </w:pPr>
    </w:p>
    <w:p w14:paraId="4E858F57" w14:textId="77777777" w:rsidR="00B3074D" w:rsidRPr="0037707D" w:rsidRDefault="00B3074D" w:rsidP="00B3074D">
      <w:pPr>
        <w:pStyle w:val="headingdissertation"/>
      </w:pPr>
      <w:bookmarkStart w:id="19" w:name="_Toc71026837"/>
      <w:r w:rsidRPr="0037707D">
        <w:t>Tables</w:t>
      </w:r>
      <w:bookmarkEnd w:id="19"/>
    </w:p>
    <w:p w14:paraId="74D8E2A8" w14:textId="77777777" w:rsidR="00B3074D" w:rsidRPr="0037707D" w:rsidRDefault="00B3074D" w:rsidP="00B3074D">
      <w:pPr>
        <w:widowControl w:val="0"/>
        <w:autoSpaceDE w:val="0"/>
        <w:autoSpaceDN w:val="0"/>
        <w:adjustRightInd w:val="0"/>
        <w:rPr>
          <w:rFonts w:ascii="Times New Roman" w:hAnsi="Times New Roman" w:cs="Times New Roman"/>
          <w:color w:val="000000" w:themeColor="text1"/>
        </w:rPr>
      </w:pPr>
    </w:p>
    <w:p w14:paraId="3F7C3002" w14:textId="77777777" w:rsidR="00B3074D" w:rsidRPr="0037707D" w:rsidRDefault="00B3074D" w:rsidP="00B3074D">
      <w:pPr>
        <w:widowControl w:val="0"/>
        <w:autoSpaceDE w:val="0"/>
        <w:autoSpaceDN w:val="0"/>
        <w:adjustRightInd w:val="0"/>
        <w:rPr>
          <w:rFonts w:ascii="Times New Roman" w:hAnsi="Times New Roman" w:cs="Times New Roman"/>
          <w:color w:val="000000" w:themeColor="text1"/>
        </w:rPr>
      </w:pPr>
      <w:r w:rsidRPr="0037707D">
        <w:rPr>
          <w:rFonts w:ascii="Times New Roman" w:hAnsi="Times New Roman" w:cs="Times New Roman"/>
          <w:color w:val="000000" w:themeColor="text1"/>
        </w:rPr>
        <w:lastRenderedPageBreak/>
        <w:t xml:space="preserve">Table 1. Weed removal treatment name, chemical agent, modes action, and application rates used in experimental design. </w:t>
      </w:r>
    </w:p>
    <w:p w14:paraId="1A4A82A3" w14:textId="77777777" w:rsidR="00B3074D" w:rsidRPr="0037707D" w:rsidRDefault="00B3074D" w:rsidP="00B3074D">
      <w:pPr>
        <w:widowControl w:val="0"/>
        <w:autoSpaceDE w:val="0"/>
        <w:autoSpaceDN w:val="0"/>
        <w:adjustRightInd w:val="0"/>
        <w:ind w:left="720"/>
        <w:rPr>
          <w:rFonts w:ascii="Times New Roman" w:hAnsi="Times New Roman" w:cs="Times New Roman"/>
          <w:color w:val="000000" w:themeColor="text1"/>
        </w:rPr>
      </w:pPr>
    </w:p>
    <w:tbl>
      <w:tblPr>
        <w:tblStyle w:val="TableGrid"/>
        <w:tblW w:w="9810" w:type="dxa"/>
        <w:tblInd w:w="175" w:type="dxa"/>
        <w:tblLook w:val="04A0" w:firstRow="1" w:lastRow="0" w:firstColumn="1" w:lastColumn="0" w:noHBand="0" w:noVBand="1"/>
      </w:tblPr>
      <w:tblGrid>
        <w:gridCol w:w="2970"/>
        <w:gridCol w:w="2272"/>
        <w:gridCol w:w="2501"/>
        <w:gridCol w:w="2067"/>
      </w:tblGrid>
      <w:tr w:rsidR="00B3074D" w:rsidRPr="0037707D" w14:paraId="68485021" w14:textId="77777777" w:rsidTr="004878DA">
        <w:trPr>
          <w:trHeight w:val="534"/>
        </w:trPr>
        <w:tc>
          <w:tcPr>
            <w:tcW w:w="2970" w:type="dxa"/>
          </w:tcPr>
          <w:p w14:paraId="37826CC0"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Weed removal treatment</w:t>
            </w:r>
          </w:p>
        </w:tc>
        <w:tc>
          <w:tcPr>
            <w:tcW w:w="2272" w:type="dxa"/>
          </w:tcPr>
          <w:p w14:paraId="2192CACF"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Chemical agent</w:t>
            </w:r>
          </w:p>
        </w:tc>
        <w:tc>
          <w:tcPr>
            <w:tcW w:w="2501" w:type="dxa"/>
          </w:tcPr>
          <w:p w14:paraId="177B1E80"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Mode of action</w:t>
            </w:r>
          </w:p>
        </w:tc>
        <w:tc>
          <w:tcPr>
            <w:tcW w:w="2067" w:type="dxa"/>
          </w:tcPr>
          <w:p w14:paraId="694DC9EC"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Application rate</w:t>
            </w:r>
          </w:p>
        </w:tc>
      </w:tr>
      <w:tr w:rsidR="00B3074D" w:rsidRPr="0037707D" w14:paraId="43E433AD" w14:textId="77777777" w:rsidTr="004878DA">
        <w:trPr>
          <w:trHeight w:val="267"/>
        </w:trPr>
        <w:tc>
          <w:tcPr>
            <w:tcW w:w="2970" w:type="dxa"/>
          </w:tcPr>
          <w:p w14:paraId="3936E35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Clarity ®</w:t>
            </w:r>
          </w:p>
        </w:tc>
        <w:tc>
          <w:tcPr>
            <w:tcW w:w="2272" w:type="dxa"/>
          </w:tcPr>
          <w:p w14:paraId="09BB98C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dicamba</w:t>
            </w:r>
          </w:p>
        </w:tc>
        <w:tc>
          <w:tcPr>
            <w:tcW w:w="2501" w:type="dxa"/>
          </w:tcPr>
          <w:p w14:paraId="7CE00764"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Auxin mimic</w:t>
            </w:r>
          </w:p>
        </w:tc>
        <w:tc>
          <w:tcPr>
            <w:tcW w:w="2067" w:type="dxa"/>
          </w:tcPr>
          <w:p w14:paraId="39887B05"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584.6 mL/Ha</w:t>
            </w:r>
          </w:p>
        </w:tc>
      </w:tr>
      <w:tr w:rsidR="00B3074D" w:rsidRPr="0037707D" w14:paraId="37656ABC" w14:textId="77777777" w:rsidTr="004878DA">
        <w:trPr>
          <w:trHeight w:val="674"/>
        </w:trPr>
        <w:tc>
          <w:tcPr>
            <w:tcW w:w="2970" w:type="dxa"/>
          </w:tcPr>
          <w:p w14:paraId="249F4AEB" w14:textId="77777777" w:rsidR="00B3074D" w:rsidRPr="0037707D" w:rsidRDefault="00B3074D" w:rsidP="004878DA">
            <w:pPr>
              <w:widowControl w:val="0"/>
              <w:autoSpaceDE w:val="0"/>
              <w:autoSpaceDN w:val="0"/>
              <w:adjustRightInd w:val="0"/>
              <w:rPr>
                <w:color w:val="000000" w:themeColor="text1"/>
              </w:rPr>
            </w:pPr>
            <w:proofErr w:type="spellStart"/>
            <w:r w:rsidRPr="0037707D">
              <w:rPr>
                <w:color w:val="000000" w:themeColor="text1"/>
              </w:rPr>
              <w:t>Aatrex</w:t>
            </w:r>
            <w:proofErr w:type="spellEnd"/>
            <w:r w:rsidRPr="0037707D">
              <w:rPr>
                <w:color w:val="000000" w:themeColor="text1"/>
              </w:rPr>
              <w:t xml:space="preserve"> ® and Calisto ®</w:t>
            </w:r>
          </w:p>
        </w:tc>
        <w:tc>
          <w:tcPr>
            <w:tcW w:w="2272" w:type="dxa"/>
          </w:tcPr>
          <w:p w14:paraId="0E09CF66" w14:textId="77777777" w:rsidR="00B3074D" w:rsidRPr="0037707D" w:rsidRDefault="00B3074D" w:rsidP="004878DA">
            <w:pPr>
              <w:widowControl w:val="0"/>
              <w:autoSpaceDE w:val="0"/>
              <w:autoSpaceDN w:val="0"/>
              <w:adjustRightInd w:val="0"/>
              <w:rPr>
                <w:color w:val="000000" w:themeColor="text1"/>
              </w:rPr>
            </w:pPr>
            <w:bookmarkStart w:id="20" w:name="OLE_LINK3"/>
            <w:bookmarkStart w:id="21" w:name="OLE_LINK4"/>
            <w:r w:rsidRPr="0037707D">
              <w:rPr>
                <w:color w:val="000000" w:themeColor="text1"/>
              </w:rPr>
              <w:t xml:space="preserve">atrazine and </w:t>
            </w:r>
            <w:proofErr w:type="spellStart"/>
            <w:r w:rsidRPr="0037707D">
              <w:rPr>
                <w:color w:val="000000" w:themeColor="text1"/>
              </w:rPr>
              <w:t>mesotrione</w:t>
            </w:r>
            <w:proofErr w:type="spellEnd"/>
            <w:r w:rsidRPr="0037707D">
              <w:rPr>
                <w:color w:val="000000" w:themeColor="text1"/>
              </w:rPr>
              <w:t xml:space="preserve"> tank mix</w:t>
            </w:r>
            <w:bookmarkEnd w:id="20"/>
            <w:bookmarkEnd w:id="21"/>
          </w:p>
        </w:tc>
        <w:tc>
          <w:tcPr>
            <w:tcW w:w="2501" w:type="dxa"/>
          </w:tcPr>
          <w:p w14:paraId="29662E1C"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Photosystem II and carotenoid pigment synthesis inhibitor</w:t>
            </w:r>
          </w:p>
        </w:tc>
        <w:tc>
          <w:tcPr>
            <w:tcW w:w="2067" w:type="dxa"/>
          </w:tcPr>
          <w:p w14:paraId="5003A889"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1169.25 mL/Ha and 219.25 mL/Ha</w:t>
            </w:r>
          </w:p>
        </w:tc>
      </w:tr>
      <w:tr w:rsidR="00B3074D" w:rsidRPr="0037707D" w14:paraId="41D34186" w14:textId="77777777" w:rsidTr="004878DA">
        <w:trPr>
          <w:trHeight w:val="815"/>
        </w:trPr>
        <w:tc>
          <w:tcPr>
            <w:tcW w:w="2970" w:type="dxa"/>
          </w:tcPr>
          <w:p w14:paraId="48BC7567" w14:textId="77777777" w:rsidR="00B3074D" w:rsidRPr="0037707D" w:rsidRDefault="00B3074D" w:rsidP="004878DA">
            <w:pPr>
              <w:widowControl w:val="0"/>
              <w:autoSpaceDE w:val="0"/>
              <w:autoSpaceDN w:val="0"/>
              <w:adjustRightInd w:val="0"/>
              <w:rPr>
                <w:color w:val="000000" w:themeColor="text1"/>
              </w:rPr>
            </w:pPr>
            <w:proofErr w:type="spellStart"/>
            <w:r w:rsidRPr="0037707D">
              <w:rPr>
                <w:color w:val="000000" w:themeColor="text1"/>
              </w:rPr>
              <w:t>RoundUp</w:t>
            </w:r>
            <w:proofErr w:type="spellEnd"/>
            <w:r w:rsidRPr="0037707D">
              <w:rPr>
                <w:color w:val="000000" w:themeColor="text1"/>
              </w:rPr>
              <w:t xml:space="preserve"> </w:t>
            </w:r>
            <w:proofErr w:type="spellStart"/>
            <w:r w:rsidRPr="0037707D">
              <w:rPr>
                <w:color w:val="000000" w:themeColor="text1"/>
              </w:rPr>
              <w:t>Powermax</w:t>
            </w:r>
            <w:proofErr w:type="spellEnd"/>
            <w:r w:rsidRPr="0037707D">
              <w:rPr>
                <w:color w:val="000000" w:themeColor="text1"/>
              </w:rPr>
              <w:t xml:space="preserve"> ®</w:t>
            </w:r>
          </w:p>
        </w:tc>
        <w:tc>
          <w:tcPr>
            <w:tcW w:w="2272" w:type="dxa"/>
          </w:tcPr>
          <w:p w14:paraId="00F0D8B9"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glyphosate</w:t>
            </w:r>
          </w:p>
        </w:tc>
        <w:tc>
          <w:tcPr>
            <w:tcW w:w="2501" w:type="dxa"/>
          </w:tcPr>
          <w:p w14:paraId="32B6DEB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EPSPS synthase inhibitor</w:t>
            </w:r>
          </w:p>
        </w:tc>
        <w:tc>
          <w:tcPr>
            <w:tcW w:w="2067" w:type="dxa"/>
          </w:tcPr>
          <w:p w14:paraId="2C89E998"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2338.49 mL/Ha</w:t>
            </w:r>
          </w:p>
        </w:tc>
      </w:tr>
      <w:tr w:rsidR="00B3074D" w:rsidRPr="0037707D" w14:paraId="04CABCD3" w14:textId="77777777" w:rsidTr="004878DA">
        <w:trPr>
          <w:trHeight w:val="548"/>
        </w:trPr>
        <w:tc>
          <w:tcPr>
            <w:tcW w:w="2970" w:type="dxa"/>
          </w:tcPr>
          <w:p w14:paraId="608596F2" w14:textId="77777777" w:rsidR="00B3074D" w:rsidRPr="0037707D" w:rsidRDefault="00B3074D" w:rsidP="004878DA">
            <w:pPr>
              <w:widowControl w:val="0"/>
              <w:autoSpaceDE w:val="0"/>
              <w:autoSpaceDN w:val="0"/>
              <w:adjustRightInd w:val="0"/>
              <w:rPr>
                <w:color w:val="000000" w:themeColor="text1"/>
              </w:rPr>
            </w:pPr>
            <w:proofErr w:type="spellStart"/>
            <w:r w:rsidRPr="0037707D">
              <w:rPr>
                <w:color w:val="000000" w:themeColor="text1"/>
              </w:rPr>
              <w:t>Handweed</w:t>
            </w:r>
            <w:proofErr w:type="spellEnd"/>
          </w:p>
        </w:tc>
        <w:tc>
          <w:tcPr>
            <w:tcW w:w="2272" w:type="dxa"/>
          </w:tcPr>
          <w:p w14:paraId="7FFC9B3A"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501" w:type="dxa"/>
          </w:tcPr>
          <w:p w14:paraId="18DBEDB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Mechanical removal</w:t>
            </w:r>
          </w:p>
        </w:tc>
        <w:tc>
          <w:tcPr>
            <w:tcW w:w="2067" w:type="dxa"/>
          </w:tcPr>
          <w:p w14:paraId="483A6F40"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r>
      <w:tr w:rsidR="00B3074D" w:rsidRPr="0037707D" w14:paraId="64F7085F" w14:textId="77777777" w:rsidTr="004878DA">
        <w:trPr>
          <w:trHeight w:val="253"/>
        </w:trPr>
        <w:tc>
          <w:tcPr>
            <w:tcW w:w="2970" w:type="dxa"/>
          </w:tcPr>
          <w:p w14:paraId="70BAA49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Nontreated</w:t>
            </w:r>
          </w:p>
        </w:tc>
        <w:tc>
          <w:tcPr>
            <w:tcW w:w="2272" w:type="dxa"/>
          </w:tcPr>
          <w:p w14:paraId="43485E8A"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501" w:type="dxa"/>
          </w:tcPr>
          <w:p w14:paraId="4A5FA46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067" w:type="dxa"/>
          </w:tcPr>
          <w:p w14:paraId="52320BAF"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r>
    </w:tbl>
    <w:p w14:paraId="74090F82" w14:textId="77777777" w:rsidR="00B3074D" w:rsidRPr="0037707D" w:rsidRDefault="00B3074D" w:rsidP="00B3074D">
      <w:pPr>
        <w:rPr>
          <w:rFonts w:ascii="Times New Roman" w:hAnsi="Times New Roman" w:cs="Times New Roman"/>
          <w:b/>
          <w:bCs/>
          <w:color w:val="000000" w:themeColor="text1"/>
        </w:rPr>
      </w:pPr>
    </w:p>
    <w:p w14:paraId="1AA4D6C1" w14:textId="27259C13" w:rsidR="00B3074D" w:rsidRPr="0014353D" w:rsidRDefault="00B3074D" w:rsidP="00B3074D">
      <w:pPr>
        <w:rPr>
          <w:rFonts w:ascii="Times New Roman" w:eastAsiaTheme="majorEastAsia" w:hAnsi="Times New Roman" w:cs="Times New Roman"/>
          <w:b/>
          <w:bCs/>
          <w:color w:val="000000" w:themeColor="text1"/>
        </w:rPr>
      </w:pPr>
      <w:r w:rsidRPr="0037707D">
        <w:rPr>
          <w:rFonts w:ascii="Times New Roman" w:hAnsi="Times New Roman" w:cs="Times New Roman"/>
          <w:b/>
          <w:bCs/>
          <w:color w:val="000000" w:themeColor="text1"/>
        </w:rPr>
        <w:br w:type="page"/>
      </w:r>
    </w:p>
    <w:p w14:paraId="40CF6C93" w14:textId="77777777" w:rsidR="00B3074D" w:rsidRDefault="00B3074D" w:rsidP="00B3074D">
      <w:pPr>
        <w:rPr>
          <w:rFonts w:ascii="Times New Roman" w:hAnsi="Times New Roman" w:cs="Times New Roman"/>
          <w:color w:val="000000" w:themeColor="text1"/>
        </w:rPr>
        <w:sectPr w:rsidR="00B3074D" w:rsidSect="004878DA">
          <w:pgSz w:w="12240" w:h="15840"/>
          <w:pgMar w:top="1440" w:right="1440" w:bottom="1440" w:left="1440" w:header="720" w:footer="720" w:gutter="0"/>
          <w:pgNumType w:start="1"/>
          <w:cols w:space="720"/>
          <w:docGrid w:linePitch="360"/>
        </w:sectPr>
      </w:pPr>
    </w:p>
    <w:p w14:paraId="68E14424" w14:textId="77777777" w:rsidR="0014353D" w:rsidRPr="0037707D" w:rsidRDefault="0014353D" w:rsidP="0014353D">
      <w:pPr>
        <w:pStyle w:val="headingdissertation"/>
      </w:pPr>
      <w:r w:rsidRPr="0037707D">
        <w:lastRenderedPageBreak/>
        <w:t xml:space="preserve">Figures </w:t>
      </w:r>
    </w:p>
    <w:p w14:paraId="1C518B63" w14:textId="061C0671" w:rsidR="0014353D" w:rsidRPr="006F4CAD" w:rsidRDefault="0014353D" w:rsidP="006F4CAD">
      <w:pPr>
        <w:rPr>
          <w:rFonts w:ascii="Times New Roman" w:hAnsi="Times New Roman" w:cs="Times New Roman"/>
          <w:color w:val="000000" w:themeColor="text1"/>
        </w:rPr>
      </w:pPr>
    </w:p>
    <w:p w14:paraId="7F5D1553" w14:textId="77777777" w:rsidR="0014353D" w:rsidRPr="007144A5" w:rsidRDefault="0014353D" w:rsidP="0014353D">
      <w:pPr>
        <w:widowControl w:val="0"/>
        <w:autoSpaceDE w:val="0"/>
        <w:autoSpaceDN w:val="0"/>
        <w:adjustRightInd w:val="0"/>
        <w:ind w:left="480" w:hanging="480"/>
        <w:rPr>
          <w:rFonts w:ascii="Times New Roman" w:hAnsi="Times New Roman" w:cs="Times New Roman"/>
          <w:strike/>
          <w:color w:val="000000" w:themeColor="text1"/>
        </w:rPr>
      </w:pPr>
    </w:p>
    <w:p w14:paraId="7A05506C" w14:textId="5433FC20" w:rsidR="0014353D" w:rsidRPr="0037707D" w:rsidRDefault="0014353D" w:rsidP="006F4CAD">
      <w:pPr>
        <w:rPr>
          <w:rFonts w:ascii="Times New Roman" w:hAnsi="Times New Roman" w:cs="Times New Roman"/>
          <w:color w:val="000000" w:themeColor="text1"/>
        </w:rPr>
      </w:pPr>
      <w:r w:rsidRPr="0037707D">
        <w:rPr>
          <w:rFonts w:ascii="Times New Roman" w:hAnsi="Times New Roman" w:cs="Times New Roman"/>
          <w:color w:val="000000" w:themeColor="text1"/>
        </w:rPr>
        <w:t xml:space="preserve">Figure </w:t>
      </w:r>
      <w:r>
        <w:rPr>
          <w:rFonts w:ascii="Times New Roman" w:hAnsi="Times New Roman" w:cs="Times New Roman"/>
          <w:color w:val="000000" w:themeColor="text1"/>
        </w:rPr>
        <w:t>1</w:t>
      </w:r>
      <w:r w:rsidRPr="0037707D">
        <w:rPr>
          <w:rFonts w:ascii="Times New Roman" w:hAnsi="Times New Roman" w:cs="Times New Roman"/>
          <w:color w:val="000000" w:themeColor="text1"/>
        </w:rPr>
        <w:t xml:space="preserve">. Enzyme activities of the a) handweeded and b) Roundup </w:t>
      </w:r>
      <w:proofErr w:type="spellStart"/>
      <w:r w:rsidRPr="0037707D">
        <w:rPr>
          <w:rFonts w:ascii="Times New Roman" w:hAnsi="Times New Roman" w:cs="Times New Roman"/>
          <w:color w:val="000000" w:themeColor="text1"/>
        </w:rPr>
        <w:t>Powermax</w:t>
      </w:r>
      <w:proofErr w:type="spellEnd"/>
      <w:r w:rsidRPr="0037707D">
        <w:rPr>
          <w:rFonts w:ascii="Times New Roman" w:hAnsi="Times New Roman" w:cs="Times New Roman"/>
          <w:color w:val="000000" w:themeColor="text1"/>
        </w:rPr>
        <w:t xml:space="preserve"> treatment plots over three sampling times. Enzyme activities were significant as per global models for AG, BG, BX, PHOS, and the ratio of C:N cycling enzymes for the handweeded plots. Only PHOS activity was significant in the Roundup </w:t>
      </w:r>
      <w:proofErr w:type="spellStart"/>
      <w:r w:rsidRPr="0037707D">
        <w:rPr>
          <w:rFonts w:ascii="Times New Roman" w:hAnsi="Times New Roman" w:cs="Times New Roman"/>
          <w:color w:val="000000" w:themeColor="text1"/>
        </w:rPr>
        <w:t>Powermax</w:t>
      </w:r>
      <w:proofErr w:type="spellEnd"/>
      <w:r w:rsidRPr="0037707D">
        <w:rPr>
          <w:rFonts w:ascii="Times New Roman" w:hAnsi="Times New Roman" w:cs="Times New Roman"/>
          <w:color w:val="000000" w:themeColor="text1"/>
        </w:rPr>
        <w:t xml:space="preserve"> plots, but the same trend was observed for many enzymes in both treatment types. Thick middle lines in boxes of box and whisker represent the median, with top and bottom of each box representing the 75th and 25th quartiles, respectively. Whiskers represent 1.5 x IQR. </w:t>
      </w:r>
      <w:r>
        <w:rPr>
          <w:rFonts w:ascii="Times New Roman" w:hAnsi="Times New Roman" w:cs="Times New Roman"/>
          <w:color w:val="000000" w:themeColor="text1"/>
        </w:rPr>
        <w:t>W</w:t>
      </w:r>
      <w:r w:rsidRPr="0037707D">
        <w:rPr>
          <w:rFonts w:ascii="Times New Roman" w:hAnsi="Times New Roman" w:cs="Times New Roman"/>
          <w:color w:val="000000" w:themeColor="text1"/>
        </w:rPr>
        <w:t>ithin each panel</w:t>
      </w:r>
      <w:r>
        <w:rPr>
          <w:rFonts w:ascii="Times New Roman" w:hAnsi="Times New Roman" w:cs="Times New Roman"/>
          <w:color w:val="000000" w:themeColor="text1"/>
        </w:rPr>
        <w:t>,</w:t>
      </w:r>
      <w:r w:rsidRPr="0037707D">
        <w:rPr>
          <w:rFonts w:ascii="Times New Roman" w:hAnsi="Times New Roman" w:cs="Times New Roman"/>
          <w:color w:val="000000" w:themeColor="text1"/>
        </w:rPr>
        <w:t xml:space="preserve"> </w:t>
      </w:r>
      <w:r>
        <w:rPr>
          <w:rFonts w:ascii="Times New Roman" w:hAnsi="Times New Roman" w:cs="Times New Roman"/>
          <w:color w:val="000000" w:themeColor="text1"/>
        </w:rPr>
        <w:t>l</w:t>
      </w:r>
      <w:r w:rsidRPr="0037707D">
        <w:rPr>
          <w:rFonts w:ascii="Times New Roman" w:hAnsi="Times New Roman" w:cs="Times New Roman"/>
          <w:color w:val="000000" w:themeColor="text1"/>
        </w:rPr>
        <w:t xml:space="preserve">etters indicate significant pairwise differences between </w:t>
      </w:r>
      <w:r>
        <w:rPr>
          <w:rFonts w:ascii="Times New Roman" w:hAnsi="Times New Roman" w:cs="Times New Roman"/>
          <w:color w:val="000000" w:themeColor="text1"/>
        </w:rPr>
        <w:t>sampling time points</w:t>
      </w:r>
      <w:r w:rsidRPr="0037707D">
        <w:rPr>
          <w:rFonts w:ascii="Times New Roman" w:hAnsi="Times New Roman" w:cs="Times New Roman"/>
          <w:color w:val="000000" w:themeColor="text1"/>
        </w:rPr>
        <w:t xml:space="preserve"> at </w:t>
      </w:r>
      <w:r w:rsidRPr="0037707D">
        <w:rPr>
          <w:rFonts w:ascii="Times New Roman" w:hAnsi="Times New Roman" w:cs="Times New Roman"/>
          <w:color w:val="000000" w:themeColor="text1"/>
        </w:rPr>
        <w:sym w:font="Symbol" w:char="F061"/>
      </w:r>
      <w:r w:rsidRPr="0037707D">
        <w:rPr>
          <w:rFonts w:ascii="Times New Roman" w:hAnsi="Times New Roman" w:cs="Times New Roman"/>
          <w:color w:val="000000" w:themeColor="text1"/>
        </w:rPr>
        <w:t xml:space="preserve"> = 0.05.</w:t>
      </w:r>
      <w:r>
        <w:rPr>
          <w:rFonts w:ascii="Times New Roman" w:hAnsi="Times New Roman" w:cs="Times New Roman"/>
          <w:color w:val="000000" w:themeColor="text1"/>
        </w:rPr>
        <w:t xml:space="preserve"> </w:t>
      </w:r>
      <w:r w:rsidRPr="0037707D">
        <w:rPr>
          <w:rFonts w:ascii="Times New Roman" w:hAnsi="Times New Roman" w:cs="Times New Roman"/>
          <w:color w:val="000000" w:themeColor="text1"/>
        </w:rPr>
        <w:t>No letters indicate lack of significant pairwise differences.</w:t>
      </w:r>
    </w:p>
    <w:p w14:paraId="38EB3133" w14:textId="3D4E87DC" w:rsidR="0014353D" w:rsidRDefault="0014353D" w:rsidP="0014353D">
      <w:pPr>
        <w:widowControl w:val="0"/>
        <w:autoSpaceDE w:val="0"/>
        <w:autoSpaceDN w:val="0"/>
        <w:adjustRightInd w:val="0"/>
        <w:ind w:left="480" w:hanging="480"/>
        <w:rPr>
          <w:rFonts w:ascii="Times New Roman" w:hAnsi="Times New Roman" w:cs="Times New Roman"/>
          <w:color w:val="000000" w:themeColor="text1"/>
        </w:rPr>
      </w:pPr>
      <w:r w:rsidRPr="0037707D">
        <w:rPr>
          <w:rFonts w:ascii="Times New Roman" w:hAnsi="Times New Roman" w:cs="Times New Roman"/>
          <w:noProof/>
          <w:color w:val="000000" w:themeColor="text1"/>
        </w:rPr>
        <w:drawing>
          <wp:inline distT="0" distB="0" distL="0" distR="0" wp14:anchorId="0B453A3B" wp14:editId="79D7B316">
            <wp:extent cx="6013938" cy="5581799"/>
            <wp:effectExtent l="0" t="0" r="6350" b="0"/>
            <wp:docPr id="14" name="Picture 22" descr="Diagram&#10;&#10;Description automatically generated">
              <a:extLst xmlns:a="http://schemas.openxmlformats.org/drawingml/2006/main">
                <a:ext uri="{FF2B5EF4-FFF2-40B4-BE49-F238E27FC236}">
                  <a16:creationId xmlns:a16="http://schemas.microsoft.com/office/drawing/2014/main" id="{982B9AE2-D409-DC45-9B13-230467FB5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Diagram&#10;&#10;Description automatically generated">
                      <a:extLst>
                        <a:ext uri="{FF2B5EF4-FFF2-40B4-BE49-F238E27FC236}">
                          <a16:creationId xmlns:a16="http://schemas.microsoft.com/office/drawing/2014/main" id="{982B9AE2-D409-DC45-9B13-230467FB5B76}"/>
                        </a:ext>
                      </a:extLst>
                    </pic:cNvPr>
                    <pic:cNvPicPr>
                      <a:picLocks noChangeAspect="1"/>
                    </pic:cNvPicPr>
                  </pic:nvPicPr>
                  <pic:blipFill>
                    <a:blip r:embed="rId10"/>
                    <a:stretch>
                      <a:fillRect/>
                    </a:stretch>
                  </pic:blipFill>
                  <pic:spPr>
                    <a:xfrm>
                      <a:off x="0" y="0"/>
                      <a:ext cx="6016639" cy="5584306"/>
                    </a:xfrm>
                    <a:prstGeom prst="rect">
                      <a:avLst/>
                    </a:prstGeom>
                  </pic:spPr>
                </pic:pic>
              </a:graphicData>
            </a:graphic>
          </wp:inline>
        </w:drawing>
      </w:r>
    </w:p>
    <w:p w14:paraId="08BED832" w14:textId="1C789E67" w:rsidR="002D2557" w:rsidRDefault="002D2557" w:rsidP="0014353D">
      <w:pPr>
        <w:widowControl w:val="0"/>
        <w:autoSpaceDE w:val="0"/>
        <w:autoSpaceDN w:val="0"/>
        <w:adjustRightInd w:val="0"/>
        <w:ind w:left="480" w:hanging="480"/>
        <w:rPr>
          <w:rFonts w:ascii="Times New Roman" w:hAnsi="Times New Roman" w:cs="Times New Roman"/>
          <w:color w:val="000000" w:themeColor="text1"/>
        </w:rPr>
      </w:pPr>
    </w:p>
    <w:p w14:paraId="5A619DA6" w14:textId="4409D43D" w:rsidR="002D2557" w:rsidRDefault="002D2557"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Figure 2. </w:t>
      </w:r>
    </w:p>
    <w:p w14:paraId="741E4593" w14:textId="77777777" w:rsidR="003771DD" w:rsidRDefault="003771DD"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lastRenderedPageBreak/>
        <w:t>16S o</w:t>
      </w:r>
      <w:r w:rsidR="002D2557">
        <w:rPr>
          <w:rFonts w:ascii="Times New Roman" w:hAnsi="Times New Roman" w:cs="Times New Roman"/>
          <w:color w:val="000000" w:themeColor="text1"/>
        </w:rPr>
        <w:t xml:space="preserve">rdination of </w:t>
      </w:r>
      <w:r w:rsidR="00B57649">
        <w:rPr>
          <w:rFonts w:ascii="Times New Roman" w:hAnsi="Times New Roman" w:cs="Times New Roman"/>
          <w:color w:val="000000" w:themeColor="text1"/>
        </w:rPr>
        <w:t>rarefied count tables with 95% SE ellipses.</w:t>
      </w:r>
      <w:r w:rsidR="002D2557">
        <w:rPr>
          <w:rFonts w:ascii="Times New Roman" w:hAnsi="Times New Roman" w:cs="Times New Roman"/>
          <w:color w:val="000000" w:themeColor="text1"/>
        </w:rPr>
        <w:t xml:space="preserve"> </w:t>
      </w:r>
      <w:r w:rsidR="001011C9">
        <w:rPr>
          <w:rFonts w:ascii="Times New Roman" w:hAnsi="Times New Roman" w:cs="Times New Roman"/>
          <w:color w:val="000000" w:themeColor="text1"/>
        </w:rPr>
        <w:t>Dissimilarity</w:t>
      </w:r>
      <w:r w:rsidR="00B57649">
        <w:rPr>
          <w:rFonts w:ascii="Times New Roman" w:hAnsi="Times New Roman" w:cs="Times New Roman"/>
          <w:color w:val="000000" w:themeColor="text1"/>
        </w:rPr>
        <w:t xml:space="preserve"> within treatment</w:t>
      </w:r>
    </w:p>
    <w:p w14:paraId="05D7BAAE" w14:textId="5B1D4583" w:rsidR="003771DD" w:rsidRDefault="00B5764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types </w:t>
      </w:r>
      <w:r w:rsidR="003771DD">
        <w:rPr>
          <w:rFonts w:ascii="Times New Roman" w:hAnsi="Times New Roman" w:cs="Times New Roman"/>
          <w:color w:val="000000" w:themeColor="text1"/>
        </w:rPr>
        <w:t>show</w:t>
      </w:r>
      <w:r>
        <w:rPr>
          <w:rFonts w:ascii="Times New Roman" w:hAnsi="Times New Roman" w:cs="Times New Roman"/>
          <w:color w:val="000000" w:themeColor="text1"/>
        </w:rPr>
        <w:t xml:space="preserve"> a homogenization of herbicide treated plots through time</w:t>
      </w:r>
      <w:r w:rsidR="001011C9">
        <w:rPr>
          <w:rFonts w:ascii="Times New Roman" w:hAnsi="Times New Roman" w:cs="Times New Roman"/>
          <w:color w:val="000000" w:themeColor="text1"/>
        </w:rPr>
        <w:t xml:space="preserve"> (column 2 and 3)</w:t>
      </w:r>
      <w:r>
        <w:rPr>
          <w:rFonts w:ascii="Times New Roman" w:hAnsi="Times New Roman" w:cs="Times New Roman"/>
          <w:color w:val="000000" w:themeColor="text1"/>
        </w:rPr>
        <w:t>.</w:t>
      </w:r>
      <w:r w:rsidR="001011C9">
        <w:rPr>
          <w:rFonts w:ascii="Times New Roman" w:hAnsi="Times New Roman" w:cs="Times New Roman"/>
          <w:color w:val="000000" w:themeColor="text1"/>
        </w:rPr>
        <w:t xml:space="preserve"> When</w:t>
      </w:r>
    </w:p>
    <w:p w14:paraId="698EE4D8" w14:textId="77777777" w:rsidR="003771DD" w:rsidRDefault="001011C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all chemical treatments </w:t>
      </w:r>
      <w:proofErr w:type="gramStart"/>
      <w:r>
        <w:rPr>
          <w:rFonts w:ascii="Times New Roman" w:hAnsi="Times New Roman" w:cs="Times New Roman"/>
          <w:color w:val="000000" w:themeColor="text1"/>
        </w:rPr>
        <w:t>grouped,</w:t>
      </w:r>
      <w:proofErr w:type="gramEnd"/>
      <w:r>
        <w:rPr>
          <w:rFonts w:ascii="Times New Roman" w:hAnsi="Times New Roman" w:cs="Times New Roman"/>
          <w:color w:val="000000" w:themeColor="text1"/>
        </w:rPr>
        <w:t xml:space="preserve"> we observe a decrease in dissimilarity not observed in the</w:t>
      </w:r>
    </w:p>
    <w:p w14:paraId="481FEDFE" w14:textId="5BC9D8CC" w:rsidR="002D2557" w:rsidRPr="0037707D" w:rsidRDefault="001011C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handweeded or non-treated plots. </w:t>
      </w:r>
      <w:r w:rsidR="00B57649">
        <w:rPr>
          <w:rFonts w:ascii="Times New Roman" w:hAnsi="Times New Roman" w:cs="Times New Roman"/>
          <w:color w:val="000000" w:themeColor="text1"/>
        </w:rPr>
        <w:t xml:space="preserve"> </w:t>
      </w:r>
    </w:p>
    <w:p w14:paraId="46AF971E" w14:textId="0BB73726" w:rsidR="00B3074D" w:rsidRDefault="002D2557" w:rsidP="007144A5">
      <w:pPr>
        <w:pStyle w:val="headingdissertation"/>
      </w:pPr>
      <w:r>
        <w:rPr>
          <w:noProof/>
        </w:rPr>
        <w:drawing>
          <wp:inline distT="0" distB="0" distL="0" distR="0" wp14:anchorId="7DCE06FB" wp14:editId="0C053935">
            <wp:extent cx="5575736" cy="31674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575736" cy="3167416"/>
                    </a:xfrm>
                    <a:prstGeom prst="rect">
                      <a:avLst/>
                    </a:prstGeom>
                  </pic:spPr>
                </pic:pic>
              </a:graphicData>
            </a:graphic>
          </wp:inline>
        </w:drawing>
      </w:r>
    </w:p>
    <w:p w14:paraId="0ECB56B1" w14:textId="341B5B67" w:rsidR="003771DD" w:rsidRDefault="003771DD" w:rsidP="007144A5">
      <w:pPr>
        <w:pStyle w:val="headingdissertation"/>
      </w:pPr>
    </w:p>
    <w:p w14:paraId="188E430E" w14:textId="76B4E17B" w:rsidR="003771DD" w:rsidRDefault="003771DD" w:rsidP="007144A5">
      <w:pPr>
        <w:pStyle w:val="headingdissertation"/>
        <w:rPr>
          <w:b w:val="0"/>
          <w:bCs w:val="0"/>
        </w:rPr>
      </w:pPr>
      <w:r>
        <w:rPr>
          <w:b w:val="0"/>
          <w:bCs w:val="0"/>
        </w:rPr>
        <w:t xml:space="preserve">Figure 3. </w:t>
      </w:r>
    </w:p>
    <w:p w14:paraId="143B2E70" w14:textId="6929B8FE" w:rsidR="005E21DB" w:rsidRPr="003771DD" w:rsidRDefault="005E21DB" w:rsidP="007144A5">
      <w:pPr>
        <w:pStyle w:val="headingdissertation"/>
        <w:rPr>
          <w:b w:val="0"/>
          <w:bCs w:val="0"/>
        </w:rPr>
      </w:pPr>
      <w:r>
        <w:rPr>
          <w:b w:val="0"/>
          <w:bCs w:val="0"/>
          <w:noProof/>
        </w:rPr>
        <w:drawing>
          <wp:inline distT="0" distB="0" distL="0" distR="0" wp14:anchorId="24207FD2" wp14:editId="0D8AC555">
            <wp:extent cx="5943600" cy="321286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943600" cy="3212866"/>
                    </a:xfrm>
                    <a:prstGeom prst="rect">
                      <a:avLst/>
                    </a:prstGeom>
                  </pic:spPr>
                </pic:pic>
              </a:graphicData>
            </a:graphic>
          </wp:inline>
        </w:drawing>
      </w:r>
    </w:p>
    <w:sectPr w:rsidR="005E21DB" w:rsidRPr="003771DD" w:rsidSect="003D1C5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Gordon Fritz Custer" w:date="2021-05-07T12:54:00Z" w:initials="GFC">
    <w:p w14:paraId="494B6FD2" w14:textId="718FDA69" w:rsidR="0075436A" w:rsidRDefault="0075436A">
      <w:pPr>
        <w:pStyle w:val="CommentText"/>
      </w:pPr>
      <w:r>
        <w:rPr>
          <w:rStyle w:val="CommentReference"/>
        </w:rPr>
        <w:annotationRef/>
      </w:r>
      <w:r>
        <w:t>This likely needs to be converted to g ai/ HA</w:t>
      </w:r>
      <w:r w:rsidR="002F4D3B">
        <w:t>. Andrew maybe?</w:t>
      </w:r>
    </w:p>
  </w:comment>
  <w:comment w:id="4" w:author="Gordon Fritz Custer" w:date="2021-05-07T13:15:00Z" w:initials="GFC">
    <w:p w14:paraId="403B5554" w14:textId="1FB06A00" w:rsidR="009F391E" w:rsidRPr="009F391E" w:rsidRDefault="009F391E">
      <w:pPr>
        <w:pStyle w:val="CommentText"/>
        <w:rPr>
          <w:color w:val="000000" w:themeColor="text1"/>
        </w:rPr>
      </w:pPr>
      <w:r>
        <w:rPr>
          <w:rStyle w:val="CommentReference"/>
        </w:rPr>
        <w:annotationRef/>
      </w:r>
      <w:r w:rsidRPr="009F391E">
        <w:rPr>
          <w:color w:val="000000" w:themeColor="text1"/>
        </w:rPr>
        <w:t xml:space="preserve">Josh, care to take a stab at this? You are more familiar with what was done in the </w:t>
      </w:r>
      <w:proofErr w:type="spellStart"/>
      <w:r w:rsidRPr="009F391E">
        <w:rPr>
          <w:color w:val="000000" w:themeColor="text1"/>
        </w:rPr>
        <w:t>Vsearch</w:t>
      </w:r>
      <w:proofErr w:type="spellEnd"/>
      <w:r w:rsidRPr="009F391E">
        <w:rPr>
          <w:color w:val="000000" w:themeColor="text1"/>
        </w:rPr>
        <w:t xml:space="preserve"> pipeline.</w:t>
      </w:r>
      <w:r>
        <w:rPr>
          <w:color w:val="000000" w:themeColor="text1"/>
        </w:rPr>
        <w:t xml:space="preserve"> I believe we should indicate the CNVRG DM modeling here as well. </w:t>
      </w:r>
    </w:p>
    <w:p w14:paraId="205D6989" w14:textId="77777777" w:rsidR="009F391E" w:rsidRPr="009F391E" w:rsidRDefault="009F391E">
      <w:pPr>
        <w:pStyle w:val="CommentText"/>
        <w:rPr>
          <w:color w:val="000000" w:themeColor="text1"/>
        </w:rPr>
      </w:pPr>
    </w:p>
    <w:p w14:paraId="0DD8BF1D" w14:textId="6D525135" w:rsidR="009F391E" w:rsidRDefault="009F391E">
      <w:pPr>
        <w:pStyle w:val="CommentText"/>
      </w:pPr>
      <w:r w:rsidRPr="009F391E">
        <w:rPr>
          <w:color w:val="000000" w:themeColor="text1"/>
        </w:rPr>
        <w:t>Taxonomy was assigned with gg16s_13.5 and unite4_02_20.fa.</w:t>
      </w:r>
    </w:p>
  </w:comment>
  <w:comment w:id="5" w:author="Gordon Fritz Custer" w:date="2022-02-15T20:21:00Z" w:initials="GFC">
    <w:p w14:paraId="7B3D1852" w14:textId="30F158D3" w:rsidR="00BB31F7" w:rsidRDefault="00BB31F7">
      <w:pPr>
        <w:pStyle w:val="CommentText"/>
      </w:pPr>
      <w:r>
        <w:rPr>
          <w:rStyle w:val="CommentReference"/>
        </w:rPr>
        <w:annotationRef/>
      </w:r>
      <w:r>
        <w:t>Will need to be fully described. This is a place holder for now.</w:t>
      </w:r>
    </w:p>
  </w:comment>
  <w:comment w:id="7" w:author="Custer, Gordon" w:date="2022-01-24T15:01:00Z" w:initials="CG">
    <w:p w14:paraId="08F09585" w14:textId="6B30A53A" w:rsidR="002F4D3B" w:rsidRDefault="002F4D3B">
      <w:pPr>
        <w:pStyle w:val="CommentText"/>
      </w:pPr>
      <w:r>
        <w:rPr>
          <w:rStyle w:val="CommentReference"/>
        </w:rPr>
        <w:annotationRef/>
      </w:r>
      <w:r>
        <w:t xml:space="preserve">Supp table numbers will need to be corrected. </w:t>
      </w:r>
    </w:p>
  </w:comment>
  <w:comment w:id="8" w:author="Gordon Fritz Custer" w:date="2021-05-07T13:33:00Z" w:initials="GFC">
    <w:p w14:paraId="6C039C6D" w14:textId="77777777" w:rsidR="0014353D" w:rsidRDefault="0014353D">
      <w:pPr>
        <w:pStyle w:val="CommentText"/>
      </w:pPr>
      <w:r>
        <w:rPr>
          <w:rStyle w:val="CommentReference"/>
        </w:rPr>
        <w:annotationRef/>
      </w:r>
      <w:r>
        <w:t xml:space="preserve">Tables have mean and SD. Supplementary tables have model outputs including F stats df etc. </w:t>
      </w:r>
      <w:r w:rsidR="00CA3F7E">
        <w:t xml:space="preserve">All of these should probably be stuck in supplementary materials. </w:t>
      </w:r>
    </w:p>
    <w:p w14:paraId="62FE5907" w14:textId="6A5578AE" w:rsidR="00CA3F7E" w:rsidRDefault="00CA3F7E">
      <w:pPr>
        <w:pStyle w:val="CommentText"/>
      </w:pPr>
    </w:p>
  </w:comment>
  <w:comment w:id="9" w:author="Custer, Gordon" w:date="2022-01-20T11:43:00Z" w:initials="CG">
    <w:p w14:paraId="306AD0E6" w14:textId="6958E69C" w:rsidR="00CA3F7E" w:rsidRDefault="00CA3F7E">
      <w:pPr>
        <w:pStyle w:val="CommentText"/>
      </w:pPr>
      <w:r>
        <w:rPr>
          <w:rStyle w:val="CommentReference"/>
        </w:rPr>
        <w:annotationRef/>
      </w:r>
      <w:hyperlink r:id="rId1" w:history="1">
        <w:r w:rsidRPr="00DA6C32">
          <w:rPr>
            <w:rStyle w:val="Hyperlink"/>
          </w:rPr>
          <w:t>http://dx.doi.org/10.1128/AEM.02600-15</w:t>
        </w:r>
      </w:hyperlink>
    </w:p>
    <w:p w14:paraId="4CECFF54" w14:textId="77777777" w:rsidR="00CA3F7E" w:rsidRDefault="00CA3F7E">
      <w:pPr>
        <w:pStyle w:val="CommentText"/>
      </w:pPr>
    </w:p>
    <w:p w14:paraId="5F1F1A1F" w14:textId="77777777" w:rsidR="00CA3F7E" w:rsidRDefault="00CA3F7E">
      <w:pPr>
        <w:pStyle w:val="CommentText"/>
      </w:pPr>
      <w:r>
        <w:t xml:space="preserve">supported by this as well. </w:t>
      </w:r>
    </w:p>
    <w:p w14:paraId="14EBE3BB" w14:textId="77777777" w:rsidR="00CA3F7E" w:rsidRDefault="00CA3F7E">
      <w:pPr>
        <w:pStyle w:val="CommentText"/>
      </w:pPr>
    </w:p>
    <w:p w14:paraId="51582A5C" w14:textId="13B100A6" w:rsidR="00CA3F7E" w:rsidRDefault="004D203E">
      <w:pPr>
        <w:pStyle w:val="CommentText"/>
      </w:pPr>
      <w:hyperlink r:id="rId2" w:history="1">
        <w:r w:rsidR="00CA3F7E" w:rsidRPr="00DA6C32">
          <w:rPr>
            <w:rStyle w:val="Hyperlink"/>
          </w:rPr>
          <w:t>https://pubmed.ncbi.nlm.nih.gov/33105985/</w:t>
        </w:r>
      </w:hyperlink>
      <w:r w:rsidR="00CA3F7E">
        <w:t xml:space="preserve"> </w:t>
      </w:r>
      <w:r w:rsidR="00CA3F7E">
        <w:br/>
      </w:r>
    </w:p>
  </w:comment>
  <w:comment w:id="12" w:author="Custer, Gordon" w:date="2022-01-21T09:19:00Z" w:initials="CG">
    <w:p w14:paraId="6FE16474" w14:textId="233516B8" w:rsidR="00B42E0E" w:rsidRDefault="00B42E0E">
      <w:pPr>
        <w:pStyle w:val="CommentText"/>
      </w:pPr>
      <w:r>
        <w:rPr>
          <w:rStyle w:val="CommentReference"/>
        </w:rPr>
        <w:annotationRef/>
      </w:r>
      <w:hyperlink r:id="rId3" w:history="1">
        <w:r w:rsidRPr="00DA6C32">
          <w:rPr>
            <w:rStyle w:val="Hyperlink"/>
          </w:rPr>
          <w:t>https://click.endnote.com/viewer?doi=10.1002%2Fps.1297&amp;token=WzMwMjg0MywiMTAuMTAwMi9wcy4xMjk3Il0.G6QeaZq91f8GyTB765bKndR45Co</w:t>
        </w:r>
      </w:hyperlink>
      <w:r>
        <w:t xml:space="preserve">  </w:t>
      </w:r>
    </w:p>
  </w:comment>
  <w:comment w:id="16" w:author="Custer, Gordon" w:date="2022-01-24T16:08:00Z" w:initials="CG">
    <w:p w14:paraId="126A045E" w14:textId="1F94E415" w:rsidR="009F7052" w:rsidRDefault="009F7052">
      <w:pPr>
        <w:pStyle w:val="CommentText"/>
      </w:pPr>
      <w:r>
        <w:rPr>
          <w:rStyle w:val="CommentReference"/>
        </w:rPr>
        <w:annotationRef/>
      </w:r>
      <w:r>
        <w:t xml:space="preserve">Josh, what are </w:t>
      </w:r>
      <w:proofErr w:type="spellStart"/>
      <w:proofErr w:type="gramStart"/>
      <w:r>
        <w:t>you</w:t>
      </w:r>
      <w:proofErr w:type="spellEnd"/>
      <w:proofErr w:type="gramEnd"/>
      <w:r>
        <w:t xml:space="preserve"> thoughts on targeting these groups for a more thorough analysis? </w:t>
      </w:r>
    </w:p>
  </w:comment>
  <w:comment w:id="17" w:author="Custer, Gordon" w:date="2022-01-21T12:39:00Z" w:initials="CG">
    <w:p w14:paraId="6C8E2AC2" w14:textId="77777777" w:rsidR="00B92C04" w:rsidRDefault="00B92C04" w:rsidP="00B92C04">
      <w:pPr>
        <w:pStyle w:val="CommentText"/>
      </w:pPr>
      <w:r>
        <w:rPr>
          <w:rStyle w:val="CommentReference"/>
        </w:rPr>
        <w:annotationRef/>
      </w:r>
      <w:hyperlink r:id="rId4" w:history="1">
        <w:r w:rsidRPr="00DA6C32">
          <w:rPr>
            <w:rStyle w:val="Hyperlink"/>
          </w:rPr>
          <w:t>http://dx.doi.org/10.1128/AEM.02600-15</w:t>
        </w:r>
      </w:hyperlink>
    </w:p>
    <w:p w14:paraId="250B3BBB" w14:textId="77777777" w:rsidR="00B92C04" w:rsidRDefault="00B92C04" w:rsidP="00B92C04">
      <w:pPr>
        <w:pStyle w:val="CommentText"/>
      </w:pPr>
    </w:p>
    <w:p w14:paraId="3AFF4B07" w14:textId="77777777" w:rsidR="00B92C04" w:rsidRDefault="00B92C04" w:rsidP="00B92C04">
      <w:pPr>
        <w:pStyle w:val="CommentText"/>
      </w:pPr>
      <w:r>
        <w:t xml:space="preserve">supported by this as well. </w:t>
      </w:r>
    </w:p>
    <w:p w14:paraId="6EEE1A11" w14:textId="77777777" w:rsidR="00B92C04" w:rsidRDefault="00B92C04" w:rsidP="00B92C04">
      <w:pPr>
        <w:pStyle w:val="CommentText"/>
      </w:pPr>
    </w:p>
    <w:p w14:paraId="641E8814" w14:textId="3F6AE5CD" w:rsidR="00B92C04" w:rsidRDefault="004D203E" w:rsidP="00B92C04">
      <w:pPr>
        <w:pStyle w:val="CommentText"/>
      </w:pPr>
      <w:hyperlink r:id="rId5" w:history="1">
        <w:r w:rsidR="00B92C04" w:rsidRPr="00DA6C32">
          <w:rPr>
            <w:rStyle w:val="Hyperlink"/>
          </w:rPr>
          <w:t>https://pubmed.ncbi.nlm.nih.gov/33105985/</w:t>
        </w:r>
      </w:hyperlink>
    </w:p>
  </w:comment>
  <w:comment w:id="18" w:author="Custer, Gordon" w:date="2022-01-21T12:38:00Z" w:initials="CG">
    <w:p w14:paraId="005EF975" w14:textId="29D463F1" w:rsidR="00B92C04" w:rsidRDefault="00B92C04">
      <w:pPr>
        <w:pStyle w:val="CommentText"/>
      </w:pPr>
      <w:r>
        <w:rPr>
          <w:rStyle w:val="CommentReference"/>
        </w:rPr>
        <w:annotationRef/>
      </w:r>
      <w:r>
        <w:t xml:space="preserve">Discuss increased CO2 papers here.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4B6FD2" w15:done="0"/>
  <w15:commentEx w15:paraId="0DD8BF1D" w15:done="0"/>
  <w15:commentEx w15:paraId="7B3D1852" w15:done="0"/>
  <w15:commentEx w15:paraId="08F09585" w15:done="0"/>
  <w15:commentEx w15:paraId="62FE5907" w15:done="0"/>
  <w15:commentEx w15:paraId="51582A5C" w15:done="0"/>
  <w15:commentEx w15:paraId="6FE16474" w15:done="0"/>
  <w15:commentEx w15:paraId="126A045E" w15:done="0"/>
  <w15:commentEx w15:paraId="641E8814" w15:done="0"/>
  <w15:commentEx w15:paraId="005EF9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F9AD2" w16cex:dateUtc="2021-05-07T16:54:00Z"/>
  <w16cex:commentExtensible w16cex:durableId="243F9FE1" w16cex:dateUtc="2021-05-07T17:15:00Z"/>
  <w16cex:commentExtensible w16cex:durableId="25B689CA" w16cex:dateUtc="2022-02-16T01:21:00Z"/>
  <w16cex:commentExtensible w16cex:durableId="25993DAE" w16cex:dateUtc="2022-01-24T20:01:00Z"/>
  <w16cex:commentExtensible w16cex:durableId="243FA424" w16cex:dateUtc="2021-05-07T17:33:00Z"/>
  <w16cex:commentExtensible w16cex:durableId="2593C94A" w16cex:dateUtc="2022-01-20T16:43:00Z"/>
  <w16cex:commentExtensible w16cex:durableId="2594F921" w16cex:dateUtc="2022-01-21T14:19:00Z"/>
  <w16cex:commentExtensible w16cex:durableId="25994D7E" w16cex:dateUtc="2022-01-24T21:08:00Z"/>
  <w16cex:commentExtensible w16cex:durableId="25952816" w16cex:dateUtc="2022-01-21T17:39:00Z"/>
  <w16cex:commentExtensible w16cex:durableId="259527D9" w16cex:dateUtc="2022-01-21T17: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4B6FD2" w16cid:durableId="243F9AD2"/>
  <w16cid:commentId w16cid:paraId="0DD8BF1D" w16cid:durableId="243F9FE1"/>
  <w16cid:commentId w16cid:paraId="7B3D1852" w16cid:durableId="25B689CA"/>
  <w16cid:commentId w16cid:paraId="08F09585" w16cid:durableId="25993DAE"/>
  <w16cid:commentId w16cid:paraId="62FE5907" w16cid:durableId="243FA424"/>
  <w16cid:commentId w16cid:paraId="51582A5C" w16cid:durableId="2593C94A"/>
  <w16cid:commentId w16cid:paraId="6FE16474" w16cid:durableId="2594F921"/>
  <w16cid:commentId w16cid:paraId="126A045E" w16cid:durableId="25994D7E"/>
  <w16cid:commentId w16cid:paraId="641E8814" w16cid:durableId="25952816"/>
  <w16cid:commentId w16cid:paraId="005EF975" w16cid:durableId="259527D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E7C751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886BF0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A40A74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E66A5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8A034D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7EE328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4D816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22A14D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47CFC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B26A3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B72B3B"/>
    <w:multiLevelType w:val="hybridMultilevel"/>
    <w:tmpl w:val="31A269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476A56"/>
    <w:multiLevelType w:val="hybridMultilevel"/>
    <w:tmpl w:val="50D21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640643"/>
    <w:multiLevelType w:val="hybridMultilevel"/>
    <w:tmpl w:val="8B1E9BF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931995"/>
    <w:multiLevelType w:val="hybridMultilevel"/>
    <w:tmpl w:val="A9DA8FF6"/>
    <w:lvl w:ilvl="0" w:tplc="37AE8A8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56543C"/>
    <w:multiLevelType w:val="hybridMultilevel"/>
    <w:tmpl w:val="90C693D4"/>
    <w:lvl w:ilvl="0" w:tplc="04090001">
      <w:start w:val="1"/>
      <w:numFmt w:val="bullet"/>
      <w:lvlText w:val=""/>
      <w:lvlJc w:val="left"/>
      <w:pPr>
        <w:ind w:left="813" w:hanging="360"/>
      </w:pPr>
      <w:rPr>
        <w:rFonts w:ascii="Symbol" w:hAnsi="Symbol" w:hint="default"/>
      </w:rPr>
    </w:lvl>
    <w:lvl w:ilvl="1" w:tplc="04090003" w:tentative="1">
      <w:start w:val="1"/>
      <w:numFmt w:val="bullet"/>
      <w:lvlText w:val="o"/>
      <w:lvlJc w:val="left"/>
      <w:pPr>
        <w:ind w:left="1533" w:hanging="360"/>
      </w:pPr>
      <w:rPr>
        <w:rFonts w:ascii="Courier New" w:hAnsi="Courier New" w:cs="Courier New" w:hint="default"/>
      </w:rPr>
    </w:lvl>
    <w:lvl w:ilvl="2" w:tplc="04090005" w:tentative="1">
      <w:start w:val="1"/>
      <w:numFmt w:val="bullet"/>
      <w:lvlText w:val=""/>
      <w:lvlJc w:val="left"/>
      <w:pPr>
        <w:ind w:left="2253" w:hanging="360"/>
      </w:pPr>
      <w:rPr>
        <w:rFonts w:ascii="Wingdings" w:hAnsi="Wingdings" w:hint="default"/>
      </w:rPr>
    </w:lvl>
    <w:lvl w:ilvl="3" w:tplc="04090001" w:tentative="1">
      <w:start w:val="1"/>
      <w:numFmt w:val="bullet"/>
      <w:lvlText w:val=""/>
      <w:lvlJc w:val="left"/>
      <w:pPr>
        <w:ind w:left="2973" w:hanging="360"/>
      </w:pPr>
      <w:rPr>
        <w:rFonts w:ascii="Symbol" w:hAnsi="Symbol" w:hint="default"/>
      </w:rPr>
    </w:lvl>
    <w:lvl w:ilvl="4" w:tplc="04090003" w:tentative="1">
      <w:start w:val="1"/>
      <w:numFmt w:val="bullet"/>
      <w:lvlText w:val="o"/>
      <w:lvlJc w:val="left"/>
      <w:pPr>
        <w:ind w:left="3693" w:hanging="360"/>
      </w:pPr>
      <w:rPr>
        <w:rFonts w:ascii="Courier New" w:hAnsi="Courier New" w:cs="Courier New" w:hint="default"/>
      </w:rPr>
    </w:lvl>
    <w:lvl w:ilvl="5" w:tplc="04090005" w:tentative="1">
      <w:start w:val="1"/>
      <w:numFmt w:val="bullet"/>
      <w:lvlText w:val=""/>
      <w:lvlJc w:val="left"/>
      <w:pPr>
        <w:ind w:left="4413" w:hanging="360"/>
      </w:pPr>
      <w:rPr>
        <w:rFonts w:ascii="Wingdings" w:hAnsi="Wingdings" w:hint="default"/>
      </w:rPr>
    </w:lvl>
    <w:lvl w:ilvl="6" w:tplc="04090001" w:tentative="1">
      <w:start w:val="1"/>
      <w:numFmt w:val="bullet"/>
      <w:lvlText w:val=""/>
      <w:lvlJc w:val="left"/>
      <w:pPr>
        <w:ind w:left="5133" w:hanging="360"/>
      </w:pPr>
      <w:rPr>
        <w:rFonts w:ascii="Symbol" w:hAnsi="Symbol" w:hint="default"/>
      </w:rPr>
    </w:lvl>
    <w:lvl w:ilvl="7" w:tplc="04090003" w:tentative="1">
      <w:start w:val="1"/>
      <w:numFmt w:val="bullet"/>
      <w:lvlText w:val="o"/>
      <w:lvlJc w:val="left"/>
      <w:pPr>
        <w:ind w:left="5853" w:hanging="360"/>
      </w:pPr>
      <w:rPr>
        <w:rFonts w:ascii="Courier New" w:hAnsi="Courier New" w:cs="Courier New" w:hint="default"/>
      </w:rPr>
    </w:lvl>
    <w:lvl w:ilvl="8" w:tplc="04090005" w:tentative="1">
      <w:start w:val="1"/>
      <w:numFmt w:val="bullet"/>
      <w:lvlText w:val=""/>
      <w:lvlJc w:val="left"/>
      <w:pPr>
        <w:ind w:left="6573" w:hanging="360"/>
      </w:pPr>
      <w:rPr>
        <w:rFonts w:ascii="Wingdings" w:hAnsi="Wingdings" w:hint="default"/>
      </w:rPr>
    </w:lvl>
  </w:abstractNum>
  <w:abstractNum w:abstractNumId="15" w15:restartNumberingAfterBreak="0">
    <w:nsid w:val="22BA6642"/>
    <w:multiLevelType w:val="hybridMultilevel"/>
    <w:tmpl w:val="587600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8" w15:restartNumberingAfterBreak="0">
    <w:nsid w:val="32E83306"/>
    <w:multiLevelType w:val="hybridMultilevel"/>
    <w:tmpl w:val="531CD7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3B43172"/>
    <w:multiLevelType w:val="hybridMultilevel"/>
    <w:tmpl w:val="15A6C1FC"/>
    <w:lvl w:ilvl="0" w:tplc="66486E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21" w15:restartNumberingAfterBreak="0">
    <w:nsid w:val="3B3D409B"/>
    <w:multiLevelType w:val="hybridMultilevel"/>
    <w:tmpl w:val="53D8E732"/>
    <w:lvl w:ilvl="0" w:tplc="7676F55C">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CF0507"/>
    <w:multiLevelType w:val="hybridMultilevel"/>
    <w:tmpl w:val="225213B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7C7F97"/>
    <w:multiLevelType w:val="hybridMultilevel"/>
    <w:tmpl w:val="32C87B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59140F06"/>
    <w:multiLevelType w:val="hybridMultilevel"/>
    <w:tmpl w:val="F2648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2D747B"/>
    <w:multiLevelType w:val="hybridMultilevel"/>
    <w:tmpl w:val="E6341A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1333E03"/>
    <w:multiLevelType w:val="hybridMultilevel"/>
    <w:tmpl w:val="6B3AF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DF61D9"/>
    <w:multiLevelType w:val="hybridMultilevel"/>
    <w:tmpl w:val="80E206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8F4C63"/>
    <w:multiLevelType w:val="hybridMultilevel"/>
    <w:tmpl w:val="941EB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1A5E9A"/>
    <w:multiLevelType w:val="hybridMultilevel"/>
    <w:tmpl w:val="97180D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9875CF"/>
    <w:multiLevelType w:val="hybridMultilevel"/>
    <w:tmpl w:val="E1507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0"/>
  </w:num>
  <w:num w:numId="3">
    <w:abstractNumId w:val="16"/>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22"/>
  </w:num>
  <w:num w:numId="7">
    <w:abstractNumId w:val="27"/>
  </w:num>
  <w:num w:numId="8">
    <w:abstractNumId w:val="29"/>
  </w:num>
  <w:num w:numId="9">
    <w:abstractNumId w:val="10"/>
  </w:num>
  <w:num w:numId="10">
    <w:abstractNumId w:val="28"/>
  </w:num>
  <w:num w:numId="11">
    <w:abstractNumId w:val="30"/>
  </w:num>
  <w:num w:numId="12">
    <w:abstractNumId w:val="14"/>
  </w:num>
  <w:num w:numId="13">
    <w:abstractNumId w:val="11"/>
  </w:num>
  <w:num w:numId="14">
    <w:abstractNumId w:val="0"/>
  </w:num>
  <w:num w:numId="15">
    <w:abstractNumId w:val="1"/>
  </w:num>
  <w:num w:numId="16">
    <w:abstractNumId w:val="2"/>
  </w:num>
  <w:num w:numId="17">
    <w:abstractNumId w:val="3"/>
  </w:num>
  <w:num w:numId="18">
    <w:abstractNumId w:val="8"/>
  </w:num>
  <w:num w:numId="19">
    <w:abstractNumId w:val="4"/>
  </w:num>
  <w:num w:numId="20">
    <w:abstractNumId w:val="5"/>
  </w:num>
  <w:num w:numId="21">
    <w:abstractNumId w:val="6"/>
  </w:num>
  <w:num w:numId="22">
    <w:abstractNumId w:val="7"/>
  </w:num>
  <w:num w:numId="23">
    <w:abstractNumId w:val="9"/>
  </w:num>
  <w:num w:numId="24">
    <w:abstractNumId w:val="19"/>
  </w:num>
  <w:num w:numId="25">
    <w:abstractNumId w:val="12"/>
  </w:num>
  <w:num w:numId="26">
    <w:abstractNumId w:val="21"/>
  </w:num>
  <w:num w:numId="27">
    <w:abstractNumId w:val="15"/>
  </w:num>
  <w:num w:numId="28">
    <w:abstractNumId w:val="24"/>
  </w:num>
  <w:num w:numId="29">
    <w:abstractNumId w:val="23"/>
  </w:num>
  <w:num w:numId="30">
    <w:abstractNumId w:val="18"/>
  </w:num>
  <w:num w:numId="31">
    <w:abstractNumId w:val="26"/>
  </w:num>
  <w:num w:numId="32">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ordon Fritz Custer">
    <w15:presenceInfo w15:providerId="AD" w15:userId="S::gcuster@uwyo.edu::648a7f8a-4352-4a91-bced-072e2a7afdfc"/>
  </w15:person>
  <w15:person w15:author="Custer, Gordon">
    <w15:presenceInfo w15:providerId="AD" w15:userId="S::gfc7@psu.edu::f6794ad3-6c22-4171-a0ba-e4030f78d3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74D"/>
    <w:rsid w:val="00021CFF"/>
    <w:rsid w:val="00061269"/>
    <w:rsid w:val="000E51EA"/>
    <w:rsid w:val="001011C9"/>
    <w:rsid w:val="0013030F"/>
    <w:rsid w:val="0014353D"/>
    <w:rsid w:val="00176BF2"/>
    <w:rsid w:val="00224EAF"/>
    <w:rsid w:val="002264A7"/>
    <w:rsid w:val="002970C2"/>
    <w:rsid w:val="002D2557"/>
    <w:rsid w:val="002F4D3B"/>
    <w:rsid w:val="003771DD"/>
    <w:rsid w:val="003D1C5E"/>
    <w:rsid w:val="00455E94"/>
    <w:rsid w:val="004878DA"/>
    <w:rsid w:val="004C596F"/>
    <w:rsid w:val="004D203E"/>
    <w:rsid w:val="00532539"/>
    <w:rsid w:val="0053582D"/>
    <w:rsid w:val="005D2CC4"/>
    <w:rsid w:val="005E21DB"/>
    <w:rsid w:val="006067D4"/>
    <w:rsid w:val="006133E2"/>
    <w:rsid w:val="006447A9"/>
    <w:rsid w:val="006C539A"/>
    <w:rsid w:val="006F4CAD"/>
    <w:rsid w:val="007144A5"/>
    <w:rsid w:val="00733695"/>
    <w:rsid w:val="0075436A"/>
    <w:rsid w:val="007C3D52"/>
    <w:rsid w:val="0089710C"/>
    <w:rsid w:val="008C78D2"/>
    <w:rsid w:val="00923C61"/>
    <w:rsid w:val="00957991"/>
    <w:rsid w:val="009A38F8"/>
    <w:rsid w:val="009B3670"/>
    <w:rsid w:val="009F391E"/>
    <w:rsid w:val="009F7052"/>
    <w:rsid w:val="00A71ACB"/>
    <w:rsid w:val="00AE3027"/>
    <w:rsid w:val="00B146B2"/>
    <w:rsid w:val="00B3074D"/>
    <w:rsid w:val="00B33E6B"/>
    <w:rsid w:val="00B42E0E"/>
    <w:rsid w:val="00B57649"/>
    <w:rsid w:val="00B82EAF"/>
    <w:rsid w:val="00B92C04"/>
    <w:rsid w:val="00BB31F7"/>
    <w:rsid w:val="00BB6B4B"/>
    <w:rsid w:val="00C94667"/>
    <w:rsid w:val="00CA3F7E"/>
    <w:rsid w:val="00CD39E7"/>
    <w:rsid w:val="00CF4814"/>
    <w:rsid w:val="00D46E4B"/>
    <w:rsid w:val="00D57637"/>
    <w:rsid w:val="00DB4879"/>
    <w:rsid w:val="00E311F4"/>
    <w:rsid w:val="00F13E52"/>
    <w:rsid w:val="00FB56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BDFE3"/>
  <w14:defaultImageDpi w14:val="32767"/>
  <w15:chartTrackingRefBased/>
  <w15:docId w15:val="{54486C37-C968-EF47-8A5E-FCF4B09B1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3074D"/>
  </w:style>
  <w:style w:type="paragraph" w:styleId="Heading1">
    <w:name w:val="heading 1"/>
    <w:basedOn w:val="Normal"/>
    <w:next w:val="BodyText"/>
    <w:link w:val="Heading1Char"/>
    <w:qFormat/>
    <w:rsid w:val="00B3074D"/>
    <w:pPr>
      <w:keepNext/>
      <w:keepLines/>
      <w:pageBreakBefore/>
      <w:tabs>
        <w:tab w:val="right" w:pos="8640"/>
      </w:tabs>
      <w:spacing w:after="700" w:line="360" w:lineRule="auto"/>
      <w:jc w:val="center"/>
      <w:outlineLvl w:val="0"/>
    </w:pPr>
    <w:rPr>
      <w:rFonts w:ascii="Garamond" w:eastAsia="Times New Roman" w:hAnsi="Garamond" w:cs="Times New Roman"/>
      <w:caps/>
      <w:spacing w:val="10"/>
      <w:kern w:val="28"/>
      <w:szCs w:val="20"/>
    </w:rPr>
  </w:style>
  <w:style w:type="paragraph" w:styleId="Heading2">
    <w:name w:val="heading 2"/>
    <w:basedOn w:val="Normal"/>
    <w:next w:val="Normal"/>
    <w:link w:val="Heading2Char"/>
    <w:uiPriority w:val="9"/>
    <w:unhideWhenUsed/>
    <w:qFormat/>
    <w:rsid w:val="00B3074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unhideWhenUsed/>
    <w:rsid w:val="00B3074D"/>
    <w:rPr>
      <w:sz w:val="16"/>
      <w:szCs w:val="16"/>
    </w:rPr>
  </w:style>
  <w:style w:type="paragraph" w:customStyle="1" w:styleId="headingdissertation">
    <w:name w:val="heading_dissertation"/>
    <w:basedOn w:val="Heading2"/>
    <w:qFormat/>
    <w:rsid w:val="00B3074D"/>
    <w:rPr>
      <w:rFonts w:ascii="Times New Roman" w:hAnsi="Times New Roman" w:cs="Times New Roman"/>
      <w:b/>
      <w:bCs/>
      <w:color w:val="000000" w:themeColor="text1"/>
      <w:sz w:val="24"/>
      <w:szCs w:val="24"/>
    </w:rPr>
  </w:style>
  <w:style w:type="character" w:customStyle="1" w:styleId="Heading2Char">
    <w:name w:val="Heading 2 Char"/>
    <w:basedOn w:val="DefaultParagraphFont"/>
    <w:link w:val="Heading2"/>
    <w:uiPriority w:val="9"/>
    <w:rsid w:val="00B3074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rsid w:val="00B3074D"/>
    <w:rPr>
      <w:rFonts w:ascii="Garamond" w:eastAsia="Times New Roman" w:hAnsi="Garamond" w:cs="Times New Roman"/>
      <w:caps/>
      <w:spacing w:val="10"/>
      <w:kern w:val="28"/>
      <w:szCs w:val="20"/>
    </w:rPr>
  </w:style>
  <w:style w:type="paragraph" w:styleId="Footer">
    <w:name w:val="footer"/>
    <w:basedOn w:val="Normal"/>
    <w:link w:val="FooterChar"/>
    <w:uiPriority w:val="99"/>
    <w:unhideWhenUsed/>
    <w:rsid w:val="00B3074D"/>
    <w:pPr>
      <w:tabs>
        <w:tab w:val="center" w:pos="4680"/>
        <w:tab w:val="right" w:pos="9360"/>
      </w:tabs>
    </w:pPr>
  </w:style>
  <w:style w:type="character" w:customStyle="1" w:styleId="FooterChar">
    <w:name w:val="Footer Char"/>
    <w:basedOn w:val="DefaultParagraphFont"/>
    <w:link w:val="Footer"/>
    <w:uiPriority w:val="99"/>
    <w:rsid w:val="00B3074D"/>
  </w:style>
  <w:style w:type="character" w:styleId="PageNumber">
    <w:name w:val="page number"/>
    <w:basedOn w:val="DefaultParagraphFont"/>
    <w:uiPriority w:val="99"/>
    <w:semiHidden/>
    <w:unhideWhenUsed/>
    <w:rsid w:val="00B3074D"/>
  </w:style>
  <w:style w:type="paragraph" w:styleId="BalloonText">
    <w:name w:val="Balloon Text"/>
    <w:basedOn w:val="Normal"/>
    <w:link w:val="BalloonTextChar"/>
    <w:uiPriority w:val="99"/>
    <w:semiHidden/>
    <w:unhideWhenUsed/>
    <w:rsid w:val="00B3074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3074D"/>
    <w:rPr>
      <w:rFonts w:ascii="Times New Roman" w:hAnsi="Times New Roman" w:cs="Times New Roman"/>
      <w:sz w:val="18"/>
      <w:szCs w:val="18"/>
    </w:rPr>
  </w:style>
  <w:style w:type="paragraph" w:styleId="BodyText">
    <w:name w:val="Body Text"/>
    <w:basedOn w:val="Normal"/>
    <w:link w:val="BodyTextChar"/>
    <w:uiPriority w:val="99"/>
    <w:unhideWhenUsed/>
    <w:rsid w:val="00B3074D"/>
    <w:pPr>
      <w:spacing w:after="120"/>
    </w:pPr>
  </w:style>
  <w:style w:type="character" w:customStyle="1" w:styleId="BodyTextChar">
    <w:name w:val="Body Text Char"/>
    <w:basedOn w:val="DefaultParagraphFont"/>
    <w:link w:val="BodyText"/>
    <w:uiPriority w:val="99"/>
    <w:rsid w:val="00B3074D"/>
  </w:style>
  <w:style w:type="character" w:styleId="Hyperlink">
    <w:name w:val="Hyperlink"/>
    <w:basedOn w:val="DefaultParagraphFont"/>
    <w:uiPriority w:val="99"/>
    <w:unhideWhenUsed/>
    <w:rsid w:val="00B3074D"/>
    <w:rPr>
      <w:color w:val="0563C1" w:themeColor="hyperlink"/>
      <w:u w:val="single"/>
    </w:rPr>
  </w:style>
  <w:style w:type="paragraph" w:styleId="TOCHeading">
    <w:name w:val="TOC Heading"/>
    <w:basedOn w:val="Heading1"/>
    <w:next w:val="Normal"/>
    <w:uiPriority w:val="39"/>
    <w:unhideWhenUsed/>
    <w:qFormat/>
    <w:rsid w:val="00B3074D"/>
    <w:pPr>
      <w:pageBreakBefore w:val="0"/>
      <w:tabs>
        <w:tab w:val="clear" w:pos="8640"/>
      </w:tabs>
      <w:spacing w:before="480" w:after="0" w:line="276" w:lineRule="auto"/>
      <w:jc w:val="left"/>
      <w:outlineLvl w:val="9"/>
    </w:pPr>
    <w:rPr>
      <w:rFonts w:asciiTheme="majorHAnsi" w:eastAsiaTheme="majorEastAsia" w:hAnsiTheme="majorHAnsi" w:cstheme="majorBidi"/>
      <w:b/>
      <w:bCs/>
      <w:caps w:val="0"/>
      <w:color w:val="2F5496" w:themeColor="accent1" w:themeShade="BF"/>
      <w:spacing w:val="0"/>
      <w:kern w:val="0"/>
      <w:sz w:val="28"/>
      <w:szCs w:val="28"/>
    </w:rPr>
  </w:style>
  <w:style w:type="paragraph" w:styleId="TOC1">
    <w:name w:val="toc 1"/>
    <w:basedOn w:val="Normal"/>
    <w:next w:val="Normal"/>
    <w:autoRedefine/>
    <w:uiPriority w:val="39"/>
    <w:unhideWhenUsed/>
    <w:rsid w:val="00B3074D"/>
    <w:pPr>
      <w:spacing w:before="120" w:after="120"/>
    </w:pPr>
    <w:rPr>
      <w:rFonts w:cstheme="minorHAnsi"/>
      <w:b/>
      <w:bCs/>
      <w:caps/>
      <w:sz w:val="20"/>
      <w:szCs w:val="20"/>
    </w:rPr>
  </w:style>
  <w:style w:type="paragraph" w:styleId="TOC3">
    <w:name w:val="toc 3"/>
    <w:basedOn w:val="Normal"/>
    <w:next w:val="Normal"/>
    <w:autoRedefine/>
    <w:uiPriority w:val="39"/>
    <w:unhideWhenUsed/>
    <w:rsid w:val="00B3074D"/>
    <w:pPr>
      <w:ind w:left="480"/>
    </w:pPr>
    <w:rPr>
      <w:rFonts w:cstheme="minorHAnsi"/>
      <w:i/>
      <w:iCs/>
      <w:sz w:val="20"/>
      <w:szCs w:val="20"/>
    </w:rPr>
  </w:style>
  <w:style w:type="paragraph" w:customStyle="1" w:styleId="MDPI11articletype">
    <w:name w:val="MDPI_1.1_article_type"/>
    <w:basedOn w:val="MDPI31text"/>
    <w:next w:val="MDPI12title"/>
    <w:qFormat/>
    <w:rsid w:val="00B3074D"/>
    <w:pPr>
      <w:spacing w:before="240" w:line="240" w:lineRule="auto"/>
      <w:ind w:firstLine="0"/>
      <w:jc w:val="left"/>
    </w:pPr>
    <w:rPr>
      <w:i/>
    </w:rPr>
  </w:style>
  <w:style w:type="paragraph" w:customStyle="1" w:styleId="MDPI12title">
    <w:name w:val="MDPI_1.2_title"/>
    <w:next w:val="MDPI13authornames"/>
    <w:qFormat/>
    <w:rsid w:val="00B3074D"/>
    <w:pPr>
      <w:adjustRightInd w:val="0"/>
      <w:snapToGrid w:val="0"/>
      <w:spacing w:after="240" w:line="400" w:lineRule="exact"/>
    </w:pPr>
    <w:rPr>
      <w:rFonts w:ascii="Palatino Linotype" w:eastAsia="Times New Roman" w:hAnsi="Palatino Linotype" w:cs="Times New Roman"/>
      <w:b/>
      <w:snapToGrid w:val="0"/>
      <w:color w:val="000000"/>
      <w:sz w:val="36"/>
      <w:szCs w:val="20"/>
      <w:lang w:eastAsia="de-DE" w:bidi="en-US"/>
    </w:rPr>
  </w:style>
  <w:style w:type="paragraph" w:customStyle="1" w:styleId="MDPI13authornames">
    <w:name w:val="MDPI_1.3_authornames"/>
    <w:basedOn w:val="MDPI31text"/>
    <w:next w:val="MDPI14history"/>
    <w:qFormat/>
    <w:rsid w:val="00B3074D"/>
    <w:pPr>
      <w:spacing w:after="120"/>
      <w:ind w:firstLine="0"/>
      <w:jc w:val="left"/>
    </w:pPr>
    <w:rPr>
      <w:b/>
      <w:snapToGrid/>
    </w:rPr>
  </w:style>
  <w:style w:type="paragraph" w:customStyle="1" w:styleId="MDPI14history">
    <w:name w:val="MDPI_1.4_history"/>
    <w:basedOn w:val="MDPI62Acknowledgments"/>
    <w:next w:val="Normal"/>
    <w:qFormat/>
    <w:rsid w:val="00B3074D"/>
    <w:pPr>
      <w:ind w:left="113"/>
      <w:jc w:val="left"/>
    </w:pPr>
    <w:rPr>
      <w:snapToGrid/>
    </w:rPr>
  </w:style>
  <w:style w:type="paragraph" w:customStyle="1" w:styleId="MDPI16affiliation">
    <w:name w:val="MDPI_1.6_affiliation"/>
    <w:basedOn w:val="MDPI62Acknowledgments"/>
    <w:qFormat/>
    <w:rsid w:val="00B3074D"/>
    <w:pPr>
      <w:spacing w:before="0"/>
      <w:ind w:left="311" w:hanging="198"/>
      <w:jc w:val="left"/>
    </w:pPr>
    <w:rPr>
      <w:snapToGrid/>
      <w:szCs w:val="18"/>
    </w:rPr>
  </w:style>
  <w:style w:type="paragraph" w:customStyle="1" w:styleId="MDPI17abstract">
    <w:name w:val="MDPI_1.7_abstract"/>
    <w:basedOn w:val="MDPI31text"/>
    <w:next w:val="MDPI18keywords"/>
    <w:qFormat/>
    <w:rsid w:val="00B3074D"/>
    <w:pPr>
      <w:spacing w:before="240"/>
      <w:ind w:left="113" w:firstLine="0"/>
    </w:pPr>
    <w:rPr>
      <w:snapToGrid/>
    </w:rPr>
  </w:style>
  <w:style w:type="paragraph" w:customStyle="1" w:styleId="MDPI18keywords">
    <w:name w:val="MDPI_1.8_keywords"/>
    <w:basedOn w:val="MDPI31text"/>
    <w:next w:val="Normal"/>
    <w:qFormat/>
    <w:rsid w:val="00B3074D"/>
    <w:pPr>
      <w:spacing w:before="240"/>
      <w:ind w:left="113" w:firstLine="0"/>
    </w:pPr>
  </w:style>
  <w:style w:type="paragraph" w:customStyle="1" w:styleId="MDPI19line">
    <w:name w:val="MDPI_1.9_line"/>
    <w:basedOn w:val="MDPI31text"/>
    <w:qFormat/>
    <w:rsid w:val="00B3074D"/>
    <w:pPr>
      <w:pBdr>
        <w:bottom w:val="single" w:sz="6" w:space="1" w:color="auto"/>
      </w:pBdr>
      <w:ind w:firstLine="0"/>
    </w:pPr>
    <w:rPr>
      <w:snapToGrid/>
      <w:szCs w:val="24"/>
    </w:rPr>
  </w:style>
  <w:style w:type="table" w:customStyle="1" w:styleId="Mdeck5tablebodythreelines">
    <w:name w:val="M_deck_5_table_body_three_lines"/>
    <w:basedOn w:val="TableNormal"/>
    <w:uiPriority w:val="99"/>
    <w:rsid w:val="00B3074D"/>
    <w:pPr>
      <w:adjustRightInd w:val="0"/>
      <w:snapToGrid w:val="0"/>
      <w:spacing w:line="300" w:lineRule="exact"/>
      <w:jc w:val="center"/>
    </w:pPr>
    <w:rPr>
      <w:rFonts w:ascii="Times New Roman" w:eastAsia="SimSun" w:hAnsi="Times New Roman" w:cs="Times New Roman"/>
      <w:sz w:val="20"/>
      <w:szCs w:val="2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B3074D"/>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B3074D"/>
    <w:pPr>
      <w:pBdr>
        <w:bottom w:val="single" w:sz="6" w:space="1" w:color="auto"/>
      </w:pBdr>
      <w:tabs>
        <w:tab w:val="center" w:pos="4153"/>
        <w:tab w:val="right" w:pos="8306"/>
      </w:tabs>
      <w:snapToGrid w:val="0"/>
      <w:spacing w:line="240" w:lineRule="atLeast"/>
      <w:jc w:val="center"/>
    </w:pPr>
    <w:rPr>
      <w:rFonts w:ascii="Times New Roman" w:eastAsia="Times New Roman" w:hAnsi="Times New Roman" w:cs="Times New Roman"/>
      <w:color w:val="000000"/>
      <w:sz w:val="18"/>
      <w:szCs w:val="18"/>
      <w:lang w:eastAsia="de-DE"/>
    </w:rPr>
  </w:style>
  <w:style w:type="character" w:customStyle="1" w:styleId="HeaderChar">
    <w:name w:val="Header Char"/>
    <w:basedOn w:val="DefaultParagraphFont"/>
    <w:link w:val="Header"/>
    <w:uiPriority w:val="99"/>
    <w:rsid w:val="00B3074D"/>
    <w:rPr>
      <w:rFonts w:ascii="Times New Roman" w:eastAsia="Times New Roman" w:hAnsi="Times New Roman" w:cs="Times New Roman"/>
      <w:color w:val="000000"/>
      <w:sz w:val="18"/>
      <w:szCs w:val="18"/>
      <w:lang w:eastAsia="de-DE"/>
    </w:rPr>
  </w:style>
  <w:style w:type="paragraph" w:customStyle="1" w:styleId="MDPIheaderjournallogo">
    <w:name w:val="MDPI_header_journal_logo"/>
    <w:qFormat/>
    <w:rsid w:val="00B3074D"/>
    <w:pPr>
      <w:adjustRightInd w:val="0"/>
      <w:snapToGrid w:val="0"/>
    </w:pPr>
    <w:rPr>
      <w:rFonts w:ascii="Palatino Linotype" w:eastAsia="Times New Roman" w:hAnsi="Palatino Linotype" w:cs="Times New Roman"/>
      <w:i/>
      <w:color w:val="000000"/>
      <w:szCs w:val="22"/>
      <w:lang w:eastAsia="de-CH"/>
    </w:rPr>
  </w:style>
  <w:style w:type="paragraph" w:customStyle="1" w:styleId="MDPI32textnoindent">
    <w:name w:val="MDPI_3.2_text_no_indent"/>
    <w:basedOn w:val="MDPI31text"/>
    <w:qFormat/>
    <w:rsid w:val="00B3074D"/>
    <w:pPr>
      <w:ind w:firstLine="0"/>
    </w:pPr>
  </w:style>
  <w:style w:type="paragraph" w:customStyle="1" w:styleId="MDPI33textspaceafter">
    <w:name w:val="MDPI_3.3_text_space_after"/>
    <w:basedOn w:val="MDPI31text"/>
    <w:qFormat/>
    <w:rsid w:val="00B3074D"/>
    <w:pPr>
      <w:spacing w:after="240"/>
    </w:pPr>
  </w:style>
  <w:style w:type="paragraph" w:customStyle="1" w:styleId="MDPI35textbeforelist">
    <w:name w:val="MDPI_3.5_text_before_list"/>
    <w:basedOn w:val="MDPI31text"/>
    <w:qFormat/>
    <w:rsid w:val="00B3074D"/>
    <w:pPr>
      <w:spacing w:after="120"/>
    </w:pPr>
  </w:style>
  <w:style w:type="paragraph" w:customStyle="1" w:styleId="MDPI36textafterlist">
    <w:name w:val="MDPI_3.6_text_after_list"/>
    <w:basedOn w:val="MDPI31text"/>
    <w:qFormat/>
    <w:rsid w:val="00B3074D"/>
    <w:pPr>
      <w:spacing w:before="120"/>
    </w:pPr>
  </w:style>
  <w:style w:type="paragraph" w:customStyle="1" w:styleId="MDPI37itemize">
    <w:name w:val="MDPI_3.7_itemize"/>
    <w:basedOn w:val="MDPI31text"/>
    <w:qFormat/>
    <w:rsid w:val="00B3074D"/>
    <w:pPr>
      <w:numPr>
        <w:numId w:val="1"/>
      </w:numPr>
      <w:ind w:left="425" w:hanging="425"/>
    </w:pPr>
  </w:style>
  <w:style w:type="paragraph" w:customStyle="1" w:styleId="MDPI38bullet">
    <w:name w:val="MDPI_3.8_bullet"/>
    <w:basedOn w:val="MDPI31text"/>
    <w:qFormat/>
    <w:rsid w:val="00B3074D"/>
    <w:pPr>
      <w:numPr>
        <w:numId w:val="2"/>
      </w:numPr>
      <w:ind w:left="425" w:hanging="425"/>
    </w:pPr>
  </w:style>
  <w:style w:type="paragraph" w:customStyle="1" w:styleId="MDPI39equation">
    <w:name w:val="MDPI_3.9_equation"/>
    <w:basedOn w:val="MDPI31text"/>
    <w:qFormat/>
    <w:rsid w:val="00B3074D"/>
    <w:pPr>
      <w:spacing w:before="120" w:after="120"/>
      <w:ind w:left="709" w:firstLine="0"/>
      <w:jc w:val="center"/>
    </w:pPr>
  </w:style>
  <w:style w:type="paragraph" w:customStyle="1" w:styleId="MDPI3aequationnumber">
    <w:name w:val="MDPI_3.a_equation_number"/>
    <w:basedOn w:val="MDPI31text"/>
    <w:qFormat/>
    <w:rsid w:val="00B3074D"/>
    <w:pPr>
      <w:spacing w:before="120" w:after="120" w:line="240" w:lineRule="auto"/>
      <w:ind w:firstLine="0"/>
      <w:jc w:val="right"/>
    </w:pPr>
  </w:style>
  <w:style w:type="paragraph" w:customStyle="1" w:styleId="MDPI62Acknowledgments">
    <w:name w:val="MDPI_6.2_Acknowledgments"/>
    <w:qFormat/>
    <w:rsid w:val="00B3074D"/>
    <w:pPr>
      <w:adjustRightInd w:val="0"/>
      <w:snapToGrid w:val="0"/>
      <w:spacing w:before="120" w:line="200" w:lineRule="atLeast"/>
      <w:jc w:val="both"/>
    </w:pPr>
    <w:rPr>
      <w:rFonts w:ascii="Palatino Linotype" w:eastAsia="Times New Roman" w:hAnsi="Palatino Linotype" w:cs="Times New Roman"/>
      <w:snapToGrid w:val="0"/>
      <w:color w:val="000000"/>
      <w:sz w:val="18"/>
      <w:szCs w:val="20"/>
      <w:lang w:eastAsia="de-DE" w:bidi="en-US"/>
    </w:rPr>
  </w:style>
  <w:style w:type="paragraph" w:customStyle="1" w:styleId="MDPI41tablecaption">
    <w:name w:val="MDPI_4.1_table_caption"/>
    <w:basedOn w:val="MDPI62Acknowledgments"/>
    <w:qFormat/>
    <w:rsid w:val="00B3074D"/>
    <w:pPr>
      <w:spacing w:before="240" w:after="120" w:line="260" w:lineRule="atLeast"/>
      <w:ind w:left="425" w:right="425"/>
    </w:pPr>
    <w:rPr>
      <w:snapToGrid/>
      <w:szCs w:val="22"/>
    </w:rPr>
  </w:style>
  <w:style w:type="paragraph" w:customStyle="1" w:styleId="MDPI42tablebody">
    <w:name w:val="MDPI_4.2_table_body"/>
    <w:qFormat/>
    <w:rsid w:val="00B3074D"/>
    <w:pPr>
      <w:adjustRightInd w:val="0"/>
      <w:snapToGrid w:val="0"/>
      <w:spacing w:line="260" w:lineRule="atLeast"/>
      <w:jc w:val="center"/>
    </w:pPr>
    <w:rPr>
      <w:rFonts w:ascii="Palatino Linotype" w:eastAsia="Times New Roman" w:hAnsi="Palatino Linotype" w:cs="Times New Roman"/>
      <w:snapToGrid w:val="0"/>
      <w:color w:val="000000"/>
      <w:sz w:val="20"/>
      <w:szCs w:val="20"/>
      <w:lang w:eastAsia="de-DE" w:bidi="en-US"/>
    </w:rPr>
  </w:style>
  <w:style w:type="paragraph" w:customStyle="1" w:styleId="MDPI43tablefooter">
    <w:name w:val="MDPI_4.3_table_footer"/>
    <w:basedOn w:val="MDPI41tablecaption"/>
    <w:next w:val="MDPI31text"/>
    <w:qFormat/>
    <w:rsid w:val="00B3074D"/>
    <w:pPr>
      <w:spacing w:before="0"/>
      <w:ind w:left="0" w:right="0"/>
    </w:pPr>
  </w:style>
  <w:style w:type="paragraph" w:customStyle="1" w:styleId="MDPI51figurecaption">
    <w:name w:val="MDPI_5.1_figure_caption"/>
    <w:basedOn w:val="MDPI62Acknowledgments"/>
    <w:qFormat/>
    <w:rsid w:val="00B3074D"/>
    <w:pPr>
      <w:spacing w:after="240" w:line="260" w:lineRule="atLeast"/>
      <w:ind w:left="425" w:right="425"/>
    </w:pPr>
    <w:rPr>
      <w:snapToGrid/>
    </w:rPr>
  </w:style>
  <w:style w:type="paragraph" w:customStyle="1" w:styleId="MDPI52figure">
    <w:name w:val="MDPI_5.2_figure"/>
    <w:qFormat/>
    <w:rsid w:val="00B3074D"/>
    <w:pPr>
      <w:jc w:val="center"/>
    </w:pPr>
    <w:rPr>
      <w:rFonts w:ascii="Palatino Linotype" w:eastAsia="Times New Roman" w:hAnsi="Palatino Linotype" w:cs="Times New Roman"/>
      <w:snapToGrid w:val="0"/>
      <w:color w:val="000000"/>
      <w:szCs w:val="20"/>
      <w:lang w:eastAsia="de-DE" w:bidi="en-US"/>
    </w:rPr>
  </w:style>
  <w:style w:type="paragraph" w:customStyle="1" w:styleId="MDPI61Supplementary">
    <w:name w:val="MDPI_6.1_Supplementary"/>
    <w:basedOn w:val="MDPI62Acknowledgments"/>
    <w:qFormat/>
    <w:rsid w:val="00B3074D"/>
    <w:pPr>
      <w:spacing w:before="240"/>
    </w:pPr>
    <w:rPr>
      <w:lang w:eastAsia="en-US"/>
    </w:rPr>
  </w:style>
  <w:style w:type="paragraph" w:customStyle="1" w:styleId="MDPI63AuthorContributions">
    <w:name w:val="MDPI_6.3_AuthorContributions"/>
    <w:basedOn w:val="MDPI62Acknowledgments"/>
    <w:qFormat/>
    <w:rsid w:val="00B3074D"/>
    <w:rPr>
      <w:rFonts w:eastAsia="SimSun"/>
      <w:color w:val="auto"/>
      <w:lang w:eastAsia="en-US"/>
    </w:rPr>
  </w:style>
  <w:style w:type="paragraph" w:customStyle="1" w:styleId="MDPI64CoI">
    <w:name w:val="MDPI_6.4_CoI"/>
    <w:basedOn w:val="MDPI62Acknowledgments"/>
    <w:qFormat/>
    <w:rsid w:val="00B3074D"/>
  </w:style>
  <w:style w:type="paragraph" w:customStyle="1" w:styleId="MDPI31text">
    <w:name w:val="MDPI_3.1_text"/>
    <w:qFormat/>
    <w:rsid w:val="00B3074D"/>
    <w:pPr>
      <w:adjustRightInd w:val="0"/>
      <w:snapToGrid w:val="0"/>
      <w:spacing w:line="260" w:lineRule="atLeast"/>
      <w:ind w:firstLine="425"/>
      <w:jc w:val="both"/>
    </w:pPr>
    <w:rPr>
      <w:rFonts w:ascii="Palatino Linotype" w:eastAsia="Times New Roman" w:hAnsi="Palatino Linotype" w:cs="Times New Roman"/>
      <w:snapToGrid w:val="0"/>
      <w:color w:val="000000"/>
      <w:sz w:val="20"/>
      <w:szCs w:val="22"/>
      <w:lang w:eastAsia="de-DE" w:bidi="en-US"/>
    </w:rPr>
  </w:style>
  <w:style w:type="paragraph" w:customStyle="1" w:styleId="MDPI23heading3">
    <w:name w:val="MDPI_2.3_heading3"/>
    <w:basedOn w:val="MDPI31text"/>
    <w:qFormat/>
    <w:rsid w:val="00B3074D"/>
    <w:pPr>
      <w:spacing w:before="240" w:after="120"/>
      <w:ind w:firstLine="0"/>
      <w:jc w:val="left"/>
      <w:outlineLvl w:val="2"/>
    </w:pPr>
  </w:style>
  <w:style w:type="paragraph" w:customStyle="1" w:styleId="MDPI21heading1">
    <w:name w:val="MDPI_2.1_heading1"/>
    <w:basedOn w:val="MDPI23heading3"/>
    <w:qFormat/>
    <w:rsid w:val="00B3074D"/>
    <w:pPr>
      <w:outlineLvl w:val="0"/>
    </w:pPr>
    <w:rPr>
      <w:b/>
    </w:rPr>
  </w:style>
  <w:style w:type="paragraph" w:customStyle="1" w:styleId="MDPI22heading2">
    <w:name w:val="MDPI_2.2_heading2"/>
    <w:basedOn w:val="Normal"/>
    <w:qFormat/>
    <w:rsid w:val="00B3074D"/>
    <w:pPr>
      <w:kinsoku w:val="0"/>
      <w:overflowPunct w:val="0"/>
      <w:autoSpaceDE w:val="0"/>
      <w:autoSpaceDN w:val="0"/>
      <w:adjustRightInd w:val="0"/>
      <w:snapToGrid w:val="0"/>
      <w:spacing w:before="240" w:after="120" w:line="260" w:lineRule="atLeast"/>
      <w:outlineLvl w:val="1"/>
    </w:pPr>
    <w:rPr>
      <w:rFonts w:ascii="Palatino Linotype" w:eastAsia="Times New Roman" w:hAnsi="Palatino Linotype" w:cs="Times New Roman"/>
      <w:i/>
      <w:noProof/>
      <w:snapToGrid w:val="0"/>
      <w:color w:val="000000"/>
      <w:sz w:val="20"/>
      <w:szCs w:val="22"/>
      <w:lang w:eastAsia="de-DE" w:bidi="en-US"/>
    </w:rPr>
  </w:style>
  <w:style w:type="paragraph" w:customStyle="1" w:styleId="MDPI71References">
    <w:name w:val="MDPI_7.1_References"/>
    <w:basedOn w:val="MDPI62Acknowledgments"/>
    <w:qFormat/>
    <w:rsid w:val="00B3074D"/>
    <w:pPr>
      <w:numPr>
        <w:numId w:val="3"/>
      </w:numPr>
      <w:spacing w:before="0" w:line="260" w:lineRule="atLeast"/>
      <w:ind w:left="425" w:hanging="425"/>
    </w:pPr>
  </w:style>
  <w:style w:type="character" w:styleId="LineNumber">
    <w:name w:val="line number"/>
    <w:basedOn w:val="DefaultParagraphFont"/>
    <w:uiPriority w:val="99"/>
    <w:semiHidden/>
    <w:unhideWhenUsed/>
    <w:rsid w:val="00B3074D"/>
  </w:style>
  <w:style w:type="table" w:customStyle="1" w:styleId="MDPI41threelinetable">
    <w:name w:val="MDPI_4.1_three_line_table"/>
    <w:basedOn w:val="TableNormal"/>
    <w:uiPriority w:val="99"/>
    <w:rsid w:val="00B3074D"/>
    <w:pPr>
      <w:adjustRightInd w:val="0"/>
      <w:snapToGrid w:val="0"/>
      <w:jc w:val="center"/>
    </w:pPr>
    <w:rPr>
      <w:rFonts w:ascii="Palatino Linotype" w:eastAsia="SimSun" w:hAnsi="Palatino Linotype" w:cs="Times New Roman"/>
      <w:color w:val="000000"/>
      <w:sz w:val="20"/>
      <w:szCs w:val="20"/>
    </w:rPr>
    <w:tblPr>
      <w:jc w:val="center"/>
      <w:tblBorders>
        <w:top w:val="single" w:sz="8" w:space="0" w:color="auto"/>
        <w:bottom w:val="single" w:sz="8" w:space="0" w:color="auto"/>
      </w:tblBorders>
    </w:tblPr>
    <w:trPr>
      <w:jc w:val="center"/>
    </w:trPr>
    <w:tcPr>
      <w:vAlign w:val="center"/>
    </w:tcPr>
    <w:tblStylePr w:type="firstRow">
      <w:rPr>
        <w:rFonts w:ascii="Calibri Light" w:hAnsi="Calibri Light"/>
        <w:b/>
        <w:i w:val="0"/>
        <w:sz w:val="20"/>
      </w:rPr>
      <w:tblPr/>
      <w:tcPr>
        <w:tcBorders>
          <w:bottom w:val="single" w:sz="4" w:space="0" w:color="auto"/>
        </w:tcBorders>
      </w:tcPr>
    </w:tblStylePr>
  </w:style>
  <w:style w:type="character" w:customStyle="1" w:styleId="UnresolvedMention1">
    <w:name w:val="Unresolved Mention1"/>
    <w:uiPriority w:val="99"/>
    <w:semiHidden/>
    <w:unhideWhenUsed/>
    <w:rsid w:val="00B3074D"/>
    <w:rPr>
      <w:color w:val="605E5C"/>
      <w:shd w:val="clear" w:color="auto" w:fill="E1DFDD"/>
    </w:rPr>
  </w:style>
  <w:style w:type="table" w:styleId="PlainTable4">
    <w:name w:val="Plain Table 4"/>
    <w:basedOn w:val="TableNormal"/>
    <w:uiPriority w:val="44"/>
    <w:rsid w:val="00B3074D"/>
    <w:rPr>
      <w:rFonts w:ascii="Calibri" w:eastAsia="SimSun" w:hAnsi="Calibri" w:cs="Times New Roman"/>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ListParagraph">
    <w:name w:val="List Paragraph"/>
    <w:basedOn w:val="Normal"/>
    <w:uiPriority w:val="34"/>
    <w:qFormat/>
    <w:rsid w:val="00B3074D"/>
    <w:pPr>
      <w:ind w:left="720"/>
      <w:contextualSpacing/>
    </w:pPr>
    <w:rPr>
      <w:rFonts w:ascii="Calibri" w:eastAsia="Calibri" w:hAnsi="Calibri" w:cs="Times New Roman"/>
    </w:rPr>
  </w:style>
  <w:style w:type="character" w:styleId="PlaceholderText">
    <w:name w:val="Placeholder Text"/>
    <w:uiPriority w:val="99"/>
    <w:semiHidden/>
    <w:rsid w:val="00B3074D"/>
    <w:rPr>
      <w:color w:val="808080"/>
    </w:rPr>
  </w:style>
  <w:style w:type="character" w:styleId="FollowedHyperlink">
    <w:name w:val="FollowedHyperlink"/>
    <w:uiPriority w:val="99"/>
    <w:semiHidden/>
    <w:unhideWhenUsed/>
    <w:rsid w:val="00B3074D"/>
    <w:rPr>
      <w:color w:val="954F72"/>
      <w:u w:val="single"/>
    </w:rPr>
  </w:style>
  <w:style w:type="paragraph" w:styleId="Caption">
    <w:name w:val="caption"/>
    <w:basedOn w:val="Normal"/>
    <w:next w:val="Normal"/>
    <w:uiPriority w:val="35"/>
    <w:unhideWhenUsed/>
    <w:qFormat/>
    <w:rsid w:val="00B3074D"/>
    <w:pPr>
      <w:spacing w:line="340" w:lineRule="atLeast"/>
      <w:jc w:val="both"/>
    </w:pPr>
    <w:rPr>
      <w:rFonts w:ascii="Times New Roman" w:eastAsia="Times New Roman" w:hAnsi="Times New Roman" w:cs="Times New Roman"/>
      <w:b/>
      <w:bCs/>
      <w:color w:val="000000"/>
      <w:sz w:val="20"/>
      <w:szCs w:val="20"/>
      <w:lang w:eastAsia="de-DE"/>
    </w:rPr>
  </w:style>
  <w:style w:type="paragraph" w:styleId="CommentText">
    <w:name w:val="annotation text"/>
    <w:basedOn w:val="Normal"/>
    <w:link w:val="CommentTextChar"/>
    <w:uiPriority w:val="99"/>
    <w:unhideWhenUsed/>
    <w:rsid w:val="00B3074D"/>
    <w:pPr>
      <w:spacing w:line="340" w:lineRule="atLeast"/>
      <w:jc w:val="both"/>
    </w:pPr>
    <w:rPr>
      <w:rFonts w:ascii="Times New Roman" w:eastAsia="Times New Roman" w:hAnsi="Times New Roman" w:cs="Times New Roman"/>
      <w:color w:val="000000"/>
      <w:sz w:val="20"/>
      <w:szCs w:val="20"/>
      <w:lang w:eastAsia="de-DE"/>
    </w:rPr>
  </w:style>
  <w:style w:type="character" w:customStyle="1" w:styleId="CommentTextChar">
    <w:name w:val="Comment Text Char"/>
    <w:basedOn w:val="DefaultParagraphFont"/>
    <w:link w:val="CommentText"/>
    <w:uiPriority w:val="99"/>
    <w:rsid w:val="00B3074D"/>
    <w:rPr>
      <w:rFonts w:ascii="Times New Roman" w:eastAsia="Times New Roman" w:hAnsi="Times New Roman" w:cs="Times New Roman"/>
      <w:color w:val="000000"/>
      <w:sz w:val="20"/>
      <w:szCs w:val="20"/>
      <w:lang w:eastAsia="de-DE"/>
    </w:rPr>
  </w:style>
  <w:style w:type="paragraph" w:styleId="CommentSubject">
    <w:name w:val="annotation subject"/>
    <w:basedOn w:val="CommentText"/>
    <w:next w:val="CommentText"/>
    <w:link w:val="CommentSubjectChar"/>
    <w:uiPriority w:val="99"/>
    <w:semiHidden/>
    <w:unhideWhenUsed/>
    <w:rsid w:val="00B3074D"/>
    <w:rPr>
      <w:b/>
      <w:bCs/>
    </w:rPr>
  </w:style>
  <w:style w:type="character" w:customStyle="1" w:styleId="CommentSubjectChar">
    <w:name w:val="Comment Subject Char"/>
    <w:basedOn w:val="CommentTextChar"/>
    <w:link w:val="CommentSubject"/>
    <w:uiPriority w:val="99"/>
    <w:semiHidden/>
    <w:rsid w:val="00B3074D"/>
    <w:rPr>
      <w:rFonts w:ascii="Times New Roman" w:eastAsia="Times New Roman" w:hAnsi="Times New Roman" w:cs="Times New Roman"/>
      <w:b/>
      <w:bCs/>
      <w:color w:val="000000"/>
      <w:sz w:val="20"/>
      <w:szCs w:val="20"/>
      <w:lang w:eastAsia="de-DE"/>
    </w:rPr>
  </w:style>
  <w:style w:type="paragraph" w:styleId="FootnoteText">
    <w:name w:val="footnote text"/>
    <w:basedOn w:val="Normal"/>
    <w:link w:val="FootnoteTextChar"/>
    <w:uiPriority w:val="99"/>
    <w:semiHidden/>
    <w:unhideWhenUsed/>
    <w:rsid w:val="00B3074D"/>
    <w:pPr>
      <w:jc w:val="both"/>
    </w:pPr>
    <w:rPr>
      <w:rFonts w:ascii="Times New Roman" w:eastAsia="Times New Roman" w:hAnsi="Times New Roman" w:cs="Times New Roman"/>
      <w:color w:val="000000"/>
      <w:sz w:val="20"/>
      <w:szCs w:val="20"/>
      <w:lang w:eastAsia="de-DE"/>
    </w:rPr>
  </w:style>
  <w:style w:type="character" w:customStyle="1" w:styleId="FootnoteTextChar">
    <w:name w:val="Footnote Text Char"/>
    <w:basedOn w:val="DefaultParagraphFont"/>
    <w:link w:val="FootnoteText"/>
    <w:uiPriority w:val="99"/>
    <w:semiHidden/>
    <w:rsid w:val="00B3074D"/>
    <w:rPr>
      <w:rFonts w:ascii="Times New Roman" w:eastAsia="Times New Roman" w:hAnsi="Times New Roman" w:cs="Times New Roman"/>
      <w:color w:val="000000"/>
      <w:sz w:val="20"/>
      <w:szCs w:val="20"/>
      <w:lang w:eastAsia="de-DE"/>
    </w:rPr>
  </w:style>
  <w:style w:type="character" w:styleId="FootnoteReference">
    <w:name w:val="footnote reference"/>
    <w:basedOn w:val="DefaultParagraphFont"/>
    <w:uiPriority w:val="99"/>
    <w:semiHidden/>
    <w:unhideWhenUsed/>
    <w:rsid w:val="00B3074D"/>
    <w:rPr>
      <w:vertAlign w:val="superscript"/>
    </w:rPr>
  </w:style>
  <w:style w:type="paragraph" w:styleId="NormalWeb">
    <w:name w:val="Normal (Web)"/>
    <w:basedOn w:val="Normal"/>
    <w:uiPriority w:val="99"/>
    <w:semiHidden/>
    <w:unhideWhenUsed/>
    <w:rsid w:val="00B3074D"/>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B3074D"/>
    <w:rPr>
      <w:rFonts w:ascii="Times New Roman" w:eastAsia="Times New Roman" w:hAnsi="Times New Roman" w:cs="Times New Roman"/>
    </w:rPr>
  </w:style>
  <w:style w:type="character" w:customStyle="1" w:styleId="st">
    <w:name w:val="st"/>
    <w:basedOn w:val="DefaultParagraphFont"/>
    <w:rsid w:val="00B3074D"/>
  </w:style>
  <w:style w:type="character" w:styleId="Emphasis">
    <w:name w:val="Emphasis"/>
    <w:basedOn w:val="DefaultParagraphFont"/>
    <w:uiPriority w:val="20"/>
    <w:qFormat/>
    <w:rsid w:val="00B3074D"/>
    <w:rPr>
      <w:i/>
      <w:iCs/>
    </w:rPr>
  </w:style>
  <w:style w:type="character" w:styleId="UnresolvedMention">
    <w:name w:val="Unresolved Mention"/>
    <w:uiPriority w:val="99"/>
    <w:unhideWhenUsed/>
    <w:rsid w:val="00B3074D"/>
    <w:rPr>
      <w:color w:val="605E5C"/>
      <w:shd w:val="clear" w:color="auto" w:fill="E1DFDD"/>
    </w:rPr>
  </w:style>
  <w:style w:type="character" w:customStyle="1" w:styleId="apple-converted-space">
    <w:name w:val="apple-converted-space"/>
    <w:basedOn w:val="DefaultParagraphFont"/>
    <w:rsid w:val="00B3074D"/>
  </w:style>
  <w:style w:type="paragraph" w:styleId="TOC2">
    <w:name w:val="toc 2"/>
    <w:basedOn w:val="Normal"/>
    <w:next w:val="Normal"/>
    <w:autoRedefine/>
    <w:uiPriority w:val="39"/>
    <w:unhideWhenUsed/>
    <w:rsid w:val="00B3074D"/>
    <w:pPr>
      <w:ind w:left="240"/>
    </w:pPr>
    <w:rPr>
      <w:rFonts w:cstheme="minorHAnsi"/>
      <w:smallCaps/>
      <w:sz w:val="20"/>
      <w:szCs w:val="20"/>
    </w:rPr>
  </w:style>
  <w:style w:type="paragraph" w:styleId="TOC4">
    <w:name w:val="toc 4"/>
    <w:basedOn w:val="Normal"/>
    <w:next w:val="Normal"/>
    <w:autoRedefine/>
    <w:uiPriority w:val="39"/>
    <w:unhideWhenUsed/>
    <w:rsid w:val="00B3074D"/>
    <w:pPr>
      <w:ind w:left="720"/>
    </w:pPr>
    <w:rPr>
      <w:rFonts w:cstheme="minorHAnsi"/>
      <w:sz w:val="18"/>
      <w:szCs w:val="18"/>
    </w:rPr>
  </w:style>
  <w:style w:type="paragraph" w:styleId="TOC5">
    <w:name w:val="toc 5"/>
    <w:basedOn w:val="Normal"/>
    <w:next w:val="Normal"/>
    <w:autoRedefine/>
    <w:uiPriority w:val="39"/>
    <w:unhideWhenUsed/>
    <w:rsid w:val="00B3074D"/>
    <w:pPr>
      <w:ind w:left="960"/>
    </w:pPr>
    <w:rPr>
      <w:rFonts w:cstheme="minorHAnsi"/>
      <w:sz w:val="18"/>
      <w:szCs w:val="18"/>
    </w:rPr>
  </w:style>
  <w:style w:type="paragraph" w:styleId="TOC6">
    <w:name w:val="toc 6"/>
    <w:basedOn w:val="Normal"/>
    <w:next w:val="Normal"/>
    <w:autoRedefine/>
    <w:uiPriority w:val="39"/>
    <w:unhideWhenUsed/>
    <w:rsid w:val="00B3074D"/>
    <w:pPr>
      <w:ind w:left="1200"/>
    </w:pPr>
    <w:rPr>
      <w:rFonts w:cstheme="minorHAnsi"/>
      <w:sz w:val="18"/>
      <w:szCs w:val="18"/>
    </w:rPr>
  </w:style>
  <w:style w:type="paragraph" w:styleId="TOC7">
    <w:name w:val="toc 7"/>
    <w:basedOn w:val="Normal"/>
    <w:next w:val="Normal"/>
    <w:autoRedefine/>
    <w:uiPriority w:val="39"/>
    <w:unhideWhenUsed/>
    <w:rsid w:val="00B3074D"/>
    <w:pPr>
      <w:ind w:left="1440"/>
    </w:pPr>
    <w:rPr>
      <w:rFonts w:cstheme="minorHAnsi"/>
      <w:sz w:val="18"/>
      <w:szCs w:val="18"/>
    </w:rPr>
  </w:style>
  <w:style w:type="paragraph" w:styleId="TOC8">
    <w:name w:val="toc 8"/>
    <w:basedOn w:val="Normal"/>
    <w:next w:val="Normal"/>
    <w:autoRedefine/>
    <w:uiPriority w:val="39"/>
    <w:unhideWhenUsed/>
    <w:rsid w:val="00B3074D"/>
    <w:pPr>
      <w:ind w:left="1680"/>
    </w:pPr>
    <w:rPr>
      <w:rFonts w:cstheme="minorHAnsi"/>
      <w:sz w:val="18"/>
      <w:szCs w:val="18"/>
    </w:rPr>
  </w:style>
  <w:style w:type="paragraph" w:styleId="TOC9">
    <w:name w:val="toc 9"/>
    <w:basedOn w:val="Normal"/>
    <w:next w:val="Normal"/>
    <w:autoRedefine/>
    <w:uiPriority w:val="39"/>
    <w:unhideWhenUsed/>
    <w:rsid w:val="00B3074D"/>
    <w:pPr>
      <w:ind w:left="1920"/>
    </w:pPr>
    <w:rPr>
      <w:rFonts w:cstheme="minorHAnsi"/>
      <w:sz w:val="18"/>
      <w:szCs w:val="18"/>
    </w:rPr>
  </w:style>
  <w:style w:type="paragraph" w:customStyle="1" w:styleId="subheadingdissertation">
    <w:name w:val="subheading dissertation"/>
    <w:basedOn w:val="Normal"/>
    <w:qFormat/>
    <w:rsid w:val="00B3074D"/>
    <w:pPr>
      <w:spacing w:line="480" w:lineRule="auto"/>
    </w:pPr>
    <w:rPr>
      <w:rFonts w:ascii="Times New Roman" w:hAnsi="Times New Roman" w:cs="Times New Roman"/>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click.endnote.com/viewer?doi=10.1002%2Fps.1297&amp;token=WzMwMjg0MywiMTAuMTAwMi9wcy4xMjk3Il0.G6QeaZq91f8GyTB765bKndR45Co" TargetMode="External"/><Relationship Id="rId2" Type="http://schemas.openxmlformats.org/officeDocument/2006/relationships/hyperlink" Target="https://pubmed.ncbi.nlm.nih.gov/33105985/" TargetMode="External"/><Relationship Id="rId1" Type="http://schemas.openxmlformats.org/officeDocument/2006/relationships/hyperlink" Target="http://dx.doi.org/10.1128/AEM.02600-15" TargetMode="External"/><Relationship Id="rId5" Type="http://schemas.openxmlformats.org/officeDocument/2006/relationships/hyperlink" Target="https://pubmed.ncbi.nlm.nih.gov/33105985/" TargetMode="External"/><Relationship Id="rId4" Type="http://schemas.openxmlformats.org/officeDocument/2006/relationships/hyperlink" Target="http://dx.doi.org/10.1128/AEM.02600-15"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EE7FB-620E-5F47-98C8-0ED50FE2B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34</Pages>
  <Words>39075</Words>
  <Characters>222729</Characters>
  <Application>Microsoft Office Word</Application>
  <DocSecurity>0</DocSecurity>
  <Lines>1856</Lines>
  <Paragraphs>522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Fritz Custer</dc:creator>
  <cp:keywords/>
  <dc:description/>
  <cp:lastModifiedBy>Custer, Gordon</cp:lastModifiedBy>
  <cp:revision>34</cp:revision>
  <dcterms:created xsi:type="dcterms:W3CDTF">2021-05-07T15:26:00Z</dcterms:created>
  <dcterms:modified xsi:type="dcterms:W3CDTF">2022-03-11T20:40:00Z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http://www.zotero.org/styles/applied-and-environmental-microbiology</vt:lpwstr>
  </property>
  <property fmtid="{D5CDD505-2E9C-101B-9397-08002B2CF9AE}" pid="5" name="Mendeley Recent Style Name 1_1">
    <vt:lpwstr>Applied and Environmental Microbiology</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http://www.zotero.org/styles/frontiers-in-microbiology</vt:lpwstr>
  </property>
  <property fmtid="{D5CDD505-2E9C-101B-9397-08002B2CF9AE}" pid="11" name="Mendeley Recent Style Name 4_1">
    <vt:lpwstr>Frontiers in Microbiology</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http://www.zotero.org/styles/journal-of-molecular-biology</vt:lpwstr>
  </property>
  <property fmtid="{D5CDD505-2E9C-101B-9397-08002B2CF9AE}" pid="15" name="Mendeley Recent Style Name 6_1">
    <vt:lpwstr>Journal of Molecular Biology</vt:lpwstr>
  </property>
  <property fmtid="{D5CDD505-2E9C-101B-9397-08002B2CF9AE}" pid="16" name="Mendeley Recent Style Id 7_1">
    <vt:lpwstr>http://www.zotero.org/styles/pedobiologia-journal-of-soil-ecology</vt:lpwstr>
  </property>
  <property fmtid="{D5CDD505-2E9C-101B-9397-08002B2CF9AE}" pid="17" name="Mendeley Recent Style Name 7_1">
    <vt:lpwstr>Pedobiologia - Journal of Soil Ecology</vt:lpwstr>
  </property>
  <property fmtid="{D5CDD505-2E9C-101B-9397-08002B2CF9AE}" pid="18" name="Mendeley Recent Style Id 8_1">
    <vt:lpwstr>http://www.zotero.org/styles/rangeland-ecology-and-management</vt:lpwstr>
  </property>
  <property fmtid="{D5CDD505-2E9C-101B-9397-08002B2CF9AE}" pid="19" name="Mendeley Recent Style Name 8_1">
    <vt:lpwstr>Rangeland Ecology &amp; Management</vt:lpwstr>
  </property>
  <property fmtid="{D5CDD505-2E9C-101B-9397-08002B2CF9AE}" pid="20" name="Mendeley Recent Style Id 9_1">
    <vt:lpwstr>http://www.zotero.org/styles/trends-in-microbiology</vt:lpwstr>
  </property>
  <property fmtid="{D5CDD505-2E9C-101B-9397-08002B2CF9AE}" pid="21" name="Mendeley Recent Style Name 9_1">
    <vt:lpwstr>Trends in Microbiology</vt:lpwstr>
  </property>
  <property fmtid="{D5CDD505-2E9C-101B-9397-08002B2CF9AE}" pid="22" name="Mendeley Document_1">
    <vt:lpwstr>True</vt:lpwstr>
  </property>
  <property fmtid="{D5CDD505-2E9C-101B-9397-08002B2CF9AE}" pid="23" name="Mendeley Citation Style_1">
    <vt:lpwstr>http://www.zotero.org/styles/applied-and-environmental-microbiology</vt:lpwstr>
  </property>
  <property fmtid="{D5CDD505-2E9C-101B-9397-08002B2CF9AE}" pid="24" name="Mendeley Unique User Id_1">
    <vt:lpwstr>a4472389-ee2a-3f03-85b6-d53f071f83d4</vt:lpwstr>
  </property>
</Properties>
</file>