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44BE8250"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2F4D3B" w:rsidRPr="00B3074D">
        <w:rPr>
          <w:rFonts w:ascii="Times New Roman" w:hAnsi="Times New Roman" w:cs="Times New Roman"/>
          <w:color w:val="000000" w:themeColor="text1"/>
          <w:shd w:val="clear" w:color="auto" w:fill="FFFFFF"/>
        </w:rPr>
        <w:t>=0.0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4A166AD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proofErr w:type="gramStart"/>
      <w:r w:rsidRPr="00B3074D">
        <w:rPr>
          <w:rFonts w:ascii="Times New Roman" w:hAnsi="Times New Roman" w:cs="Times New Roman"/>
          <w:color w:val="000000" w:themeColor="text1"/>
          <w:shd w:val="clear" w:color="auto" w:fill="FFFFFF"/>
        </w:rPr>
        <w:t>In order to</w:t>
      </w:r>
      <w:proofErr w:type="gramEnd"/>
      <w:r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3535EF51"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w:t>
      </w:r>
      <w:r w:rsidR="002F4D3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determined by total abundance, were assessed using the rarefied taxon count tables. </w:t>
      </w:r>
    </w:p>
    <w:p w14:paraId="6901F56A" w14:textId="77777777" w:rsidR="00B3074D" w:rsidRPr="00B3074D" w:rsidRDefault="00B3074D" w:rsidP="00B3074D">
      <w:pPr>
        <w:pStyle w:val="headingdissertation"/>
        <w:spacing w:line="480" w:lineRule="auto"/>
      </w:pPr>
      <w:bookmarkStart w:id="5" w:name="_Toc71026835"/>
      <w:r w:rsidRPr="00B3074D">
        <w:t>Results</w:t>
      </w:r>
      <w:bookmarkEnd w:id="5"/>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w:t>
      </w:r>
      <w:r w:rsidRPr="00B3074D">
        <w:rPr>
          <w:rFonts w:ascii="Times New Roman" w:hAnsi="Times New Roman" w:cs="Times New Roman"/>
          <w:color w:val="000000" w:themeColor="text1"/>
          <w:shd w:val="clear" w:color="auto" w:fill="FFFFFF"/>
        </w:rPr>
        <w:lastRenderedPageBreak/>
        <w:t xml:space="preserve">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6"/>
      <w:commentRangeStart w:id="7"/>
      <w:r w:rsidRPr="002F4D3B">
        <w:rPr>
          <w:rFonts w:ascii="Times New Roman" w:hAnsi="Times New Roman" w:cs="Times New Roman"/>
          <w:color w:val="000000" w:themeColor="text1"/>
          <w:highlight w:val="yellow"/>
          <w:shd w:val="clear" w:color="auto" w:fill="FFFFFF"/>
        </w:rPr>
        <w:t>Table</w:t>
      </w:r>
      <w:commentRangeEnd w:id="6"/>
      <w:r w:rsidR="002F4D3B">
        <w:rPr>
          <w:rStyle w:val="CommentReference"/>
          <w:rFonts w:ascii="Times New Roman" w:eastAsia="Times New Roman" w:hAnsi="Times New Roman" w:cs="Times New Roman"/>
          <w:color w:val="000000"/>
          <w:lang w:eastAsia="de-DE"/>
        </w:rPr>
        <w:commentReference w:id="6"/>
      </w:r>
      <w:r w:rsidRPr="002F4D3B">
        <w:rPr>
          <w:rFonts w:ascii="Times New Roman" w:hAnsi="Times New Roman" w:cs="Times New Roman"/>
          <w:color w:val="000000" w:themeColor="text1"/>
          <w:highlight w:val="yellow"/>
          <w:shd w:val="clear" w:color="auto" w:fill="FFFFFF"/>
        </w:rPr>
        <w:t xml:space="preserve"> 2 </w:t>
      </w:r>
      <w:commentRangeEnd w:id="7"/>
      <w:r w:rsidR="0014353D" w:rsidRPr="002F4D3B">
        <w:rPr>
          <w:rStyle w:val="CommentReference"/>
          <w:rFonts w:ascii="Times New Roman" w:eastAsia="Times New Roman" w:hAnsi="Times New Roman" w:cs="Times New Roman"/>
          <w:color w:val="000000"/>
          <w:highlight w:val="yellow"/>
          <w:lang w:eastAsia="de-DE"/>
        </w:rPr>
        <w:commentReference w:id="7"/>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xml:space="preserve">). Pairwise contrasts </w:t>
      </w:r>
      <w:r w:rsidRPr="00B3074D">
        <w:rPr>
          <w:rFonts w:ascii="Times New Roman" w:hAnsi="Times New Roman" w:cs="Times New Roman"/>
          <w:color w:val="000000" w:themeColor="text1"/>
          <w:shd w:val="clear" w:color="auto" w:fill="FFFFFF"/>
        </w:rPr>
        <w:lastRenderedPageBreak/>
        <w:t>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w:t>
      </w:r>
      <w:r w:rsidR="00B3074D" w:rsidRPr="00B3074D">
        <w:rPr>
          <w:rFonts w:ascii="Times New Roman" w:hAnsi="Times New Roman" w:cs="Times New Roman"/>
          <w:color w:val="000000" w:themeColor="text1"/>
        </w:rPr>
        <w:lastRenderedPageBreak/>
        <w:t xml:space="preserve">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w:t>
      </w:r>
      <w:r w:rsidRPr="00B3074D">
        <w:rPr>
          <w:rFonts w:ascii="Times New Roman" w:hAnsi="Times New Roman" w:cs="Times New Roman"/>
          <w:color w:val="000000" w:themeColor="text1"/>
          <w:shd w:val="clear" w:color="auto" w:fill="FFFFFF"/>
        </w:rPr>
        <w:lastRenderedPageBreak/>
        <w:t xml:space="preserve">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r w:rsidR="002F4D3B">
        <w:rPr>
          <w:rFonts w:ascii="Times New Roman" w:hAnsi="Times New Roman" w:cs="Times New Roman"/>
          <w:i/>
          <w:iCs/>
          <w:color w:val="000000" w:themeColor="text1"/>
          <w:shd w:val="clear" w:color="auto" w:fill="FFFFFF"/>
        </w:rPr>
        <w:t>l diversity</w:t>
      </w:r>
    </w:p>
    <w:p w14:paraId="4D9C0E64" w14:textId="36116F35"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t>
      </w:r>
      <w:r>
        <w:rPr>
          <w:rFonts w:ascii="Times New Roman" w:hAnsi="Times New Roman" w:cs="Times New Roman"/>
          <w:color w:val="000000" w:themeColor="text1"/>
          <w:shd w:val="clear" w:color="auto" w:fill="FFFFFF"/>
        </w:rPr>
        <w:lastRenderedPageBreak/>
        <w:t xml:space="preserve">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w:t>
      </w:r>
      <w:r w:rsidR="002F4D3B">
        <w:rPr>
          <w:rFonts w:ascii="Times New Roman" w:hAnsi="Times New Roman" w:cs="Times New Roman"/>
          <w:color w:val="000000" w:themeColor="text1"/>
          <w:shd w:val="clear" w:color="auto" w:fill="FFFFFF"/>
        </w:rPr>
        <w:t>20-</w:t>
      </w:r>
      <w:r w:rsidR="00CA3F7E">
        <w:rPr>
          <w:rFonts w:ascii="Times New Roman" w:hAnsi="Times New Roman" w:cs="Times New Roman"/>
          <w:color w:val="000000" w:themeColor="text1"/>
          <w:shd w:val="clear" w:color="auto" w:fill="FFFFFF"/>
        </w:rPr>
        <w:t xml:space="preserve">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w:t>
      </w:r>
      <w:r w:rsidR="002F4D3B">
        <w:rPr>
          <w:rFonts w:ascii="Times New Roman" w:hAnsi="Times New Roman" w:cs="Times New Roman"/>
          <w:color w:val="000000" w:themeColor="text1"/>
          <w:shd w:val="clear" w:color="auto" w:fill="FFFFFF"/>
        </w:rPr>
        <w:t>nont</w:t>
      </w:r>
      <w:r w:rsidR="00CA3F7E">
        <w:rPr>
          <w:rFonts w:ascii="Times New Roman" w:hAnsi="Times New Roman" w:cs="Times New Roman"/>
          <w:color w:val="000000" w:themeColor="text1"/>
          <w:shd w:val="clear" w:color="auto" w:fill="FFFFFF"/>
        </w:rPr>
        <w:t xml:space="preserve">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9" w:name="OLE_LINK1"/>
      <w:bookmarkStart w:id="10"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9"/>
      <w:bookmarkEnd w:id="10"/>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1"/>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1"/>
      <w:r w:rsidR="00B42E0E">
        <w:rPr>
          <w:rStyle w:val="CommentReference"/>
          <w:rFonts w:ascii="Times New Roman" w:eastAsia="Times New Roman" w:hAnsi="Times New Roman" w:cs="Times New Roman"/>
          <w:color w:val="000000"/>
          <w:lang w:eastAsia="de-DE"/>
        </w:rPr>
        <w:commentReference w:id="11"/>
      </w:r>
      <w:bookmarkStart w:id="12" w:name="_Toc71026836"/>
    </w:p>
    <w:p w14:paraId="1EB24B3A" w14:textId="4D58F5A9" w:rsidR="00B3074D" w:rsidRPr="00B3074D" w:rsidRDefault="00B3074D" w:rsidP="00B3074D">
      <w:pPr>
        <w:pStyle w:val="headingdissertation"/>
        <w:spacing w:line="480" w:lineRule="auto"/>
      </w:pPr>
      <w:r w:rsidRPr="00B3074D">
        <w:t>Discussion</w:t>
      </w:r>
      <w:bookmarkEnd w:id="12"/>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w:t>
      </w:r>
      <w:r w:rsidRPr="00B3074D">
        <w:rPr>
          <w:rFonts w:ascii="Times New Roman" w:hAnsi="Times New Roman" w:cs="Times New Roman"/>
          <w:color w:val="000000" w:themeColor="text1"/>
          <w:shd w:val="clear" w:color="auto" w:fill="FFFFFF"/>
        </w:rPr>
        <w:lastRenderedPageBreak/>
        <w:t>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4B8B55C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(42)</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4FC555E8"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 xml:space="preserve">handweeded and Roundup) </w:t>
      </w:r>
      <w:r w:rsidR="00B3074D" w:rsidRPr="00B3074D">
        <w:rPr>
          <w:rFonts w:ascii="Times New Roman" w:hAnsi="Times New Roman" w:cs="Times New Roman"/>
          <w:color w:val="000000" w:themeColor="text1"/>
          <w:shd w:val="clear" w:color="auto" w:fill="FFFFFF"/>
        </w:rPr>
        <w:lastRenderedPageBreak/>
        <w:t>over twenty weeks</w:t>
      </w:r>
      <w:r w:rsidR="009B3670">
        <w:rPr>
          <w:rFonts w:ascii="Times New Roman" w:hAnsi="Times New Roman" w:cs="Times New Roman"/>
          <w:color w:val="000000" w:themeColor="text1"/>
          <w:shd w:val="clear" w:color="auto" w:fill="FFFFFF"/>
        </w:rPr>
        <w:t xml:space="preserve"> </w:t>
      </w:r>
      <w:bookmarkStart w:id="13" w:name="OLE_LINK5"/>
      <w:bookmarkStart w:id="14"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3"/>
      <w:bookmarkEnd w:id="14"/>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44)","plainTextFormattedCitation":"(19, 20, 44)","previouslyFormattedCitation":"(19, 20, 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(19, 20, 44)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7B2764FD"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w:t>
      </w:r>
      <w:r w:rsidRPr="00B3074D">
        <w:rPr>
          <w:rFonts w:ascii="Times New Roman" w:hAnsi="Times New Roman" w:cs="Times New Roman"/>
          <w:color w:val="000000" w:themeColor="text1"/>
          <w:shd w:val="clear" w:color="auto" w:fill="FFFFFF"/>
        </w:rPr>
        <w:lastRenderedPageBreak/>
        <w:t xml:space="preserve">also be partially responsible for a reduction in inorganic N via uptake and immobilization in plant biomass. </w:t>
      </w:r>
      <w:commentRangeStart w:id="15"/>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5"/>
      <w:r w:rsidR="009F7052">
        <w:rPr>
          <w:rStyle w:val="CommentReference"/>
          <w:rFonts w:ascii="Times New Roman" w:eastAsia="Times New Roman" w:hAnsi="Times New Roman" w:cs="Times New Roman"/>
          <w:color w:val="000000"/>
          <w:lang w:eastAsia="de-DE"/>
        </w:rPr>
        <w:commentReference w:id="15"/>
      </w:r>
    </w:p>
    <w:p w14:paraId="59CB79C0" w14:textId="22724E4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661B585F"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decrease</w:t>
      </w:r>
      <w:r w:rsidR="003606FA">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shd w:val="clear" w:color="auto" w:fill="FFFFFF"/>
        </w:rPr>
        <w:t xml:space="preserve">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w:t>
      </w:r>
      <w:r w:rsidRPr="00B3074D">
        <w:rPr>
          <w:rFonts w:ascii="Times New Roman" w:hAnsi="Times New Roman" w:cs="Times New Roman"/>
          <w:color w:val="000000" w:themeColor="text1"/>
          <w:shd w:val="clear" w:color="auto" w:fill="FFFFFF"/>
        </w:rPr>
        <w:lastRenderedPageBreak/>
        <w:t xml:space="preserve">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w:t>
      </w:r>
      <w:r w:rsidR="003606FA">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 period. However, given the lack of correlation between phosphate concentration and PHOS activity and observing the same patterns in the handweeded plots, we hypothesize forces besides herbicide application may be responsible</w:t>
      </w:r>
      <w:r w:rsidR="003606FA">
        <w:rPr>
          <w:rFonts w:ascii="Times New Roman" w:hAnsi="Times New Roman" w:cs="Times New Roman"/>
          <w:color w:val="000000" w:themeColor="text1"/>
          <w:shd w:val="clear" w:color="auto" w:fill="FFFFFF"/>
        </w:rPr>
        <w:t xml:space="preserve"> </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e.g.</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09702F77"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t>
      </w:r>
      <w:r w:rsidR="003606FA">
        <w:rPr>
          <w:rFonts w:ascii="Times New Roman" w:hAnsi="Times New Roman" w:cs="Times New Roman"/>
          <w:color w:val="000000" w:themeColor="text1"/>
          <w:shd w:val="clear" w:color="auto" w:fill="FFFFFF"/>
        </w:rPr>
        <w:t>could</w:t>
      </w:r>
      <w:r w:rsidRPr="00B3074D">
        <w:rPr>
          <w:rFonts w:ascii="Times New Roman" w:hAnsi="Times New Roman" w:cs="Times New Roman"/>
          <w:color w:val="000000" w:themeColor="text1"/>
          <w:shd w:val="clear" w:color="auto" w:fill="FFFFFF"/>
        </w:rPr>
        <w:t xml:space="preserve"> shift the competitive balance, with heterotrophic microbes being </w:t>
      </w:r>
      <w:r w:rsidRPr="00B3074D">
        <w:rPr>
          <w:rFonts w:ascii="Times New Roman" w:hAnsi="Times New Roman" w:cs="Times New Roman"/>
          <w:color w:val="000000" w:themeColor="text1"/>
          <w:shd w:val="clear" w:color="auto" w:fill="FFFFFF"/>
        </w:rPr>
        <w:lastRenderedPageBreak/>
        <w:t xml:space="preserve">favored. </w:t>
      </w:r>
      <w:r w:rsidR="003606FA">
        <w:rPr>
          <w:rFonts w:ascii="Times New Roman" w:hAnsi="Times New Roman" w:cs="Times New Roman"/>
          <w:color w:val="000000" w:themeColor="text1"/>
          <w:shd w:val="clear" w:color="auto" w:fill="FFFFFF"/>
        </w:rPr>
        <w:t>Observed s</w:t>
      </w:r>
      <w:r w:rsidR="00B92C04">
        <w:rPr>
          <w:rFonts w:ascii="Times New Roman" w:hAnsi="Times New Roman" w:cs="Times New Roman"/>
          <w:color w:val="000000" w:themeColor="text1"/>
          <w:shd w:val="clear" w:color="auto" w:fill="FFFFFF"/>
        </w:rPr>
        <w:t xml:space="preserve">hifts in the abundance of </w:t>
      </w:r>
      <w:proofErr w:type="spellStart"/>
      <w:r w:rsidR="00B92C04" w:rsidRPr="003606FA">
        <w:rPr>
          <w:rFonts w:ascii="Times New Roman" w:hAnsi="Times New Roman" w:cs="Times New Roman"/>
          <w:color w:val="000000" w:themeColor="text1"/>
          <w:shd w:val="clear" w:color="auto" w:fill="FFFFFF"/>
        </w:rPr>
        <w:t>Shpingomondacae</w:t>
      </w:r>
      <w:proofErr w:type="spellEnd"/>
      <w:r w:rsidR="00B92C04" w:rsidRPr="003606FA">
        <w:rPr>
          <w:rFonts w:ascii="Times New Roman" w:hAnsi="Times New Roman" w:cs="Times New Roman"/>
          <w:color w:val="000000" w:themeColor="text1"/>
          <w:shd w:val="clear" w:color="auto" w:fill="FFFFFF"/>
        </w:rPr>
        <w:t xml:space="preserve"> </w:t>
      </w:r>
      <w:r w:rsidR="003606FA" w:rsidRPr="003606FA">
        <w:rPr>
          <w:rFonts w:ascii="Times New Roman" w:hAnsi="Times New Roman" w:cs="Times New Roman"/>
          <w:color w:val="000000" w:themeColor="text1"/>
          <w:shd w:val="clear" w:color="auto" w:fill="FFFFFF"/>
        </w:rPr>
        <w:t xml:space="preserve">in all chemical herbicide treated plots </w:t>
      </w:r>
      <w:r w:rsidR="00B92C04" w:rsidRPr="003606FA">
        <w:rPr>
          <w:rFonts w:ascii="Times New Roman" w:hAnsi="Times New Roman" w:cs="Times New Roman"/>
          <w:color w:val="000000" w:themeColor="text1"/>
          <w:shd w:val="clear" w:color="auto" w:fill="FFFFFF"/>
        </w:rPr>
        <w:t>support</w:t>
      </w:r>
      <w:r w:rsidR="003606FA" w:rsidRPr="003606FA">
        <w:rPr>
          <w:rFonts w:ascii="Times New Roman" w:hAnsi="Times New Roman" w:cs="Times New Roman"/>
          <w:color w:val="000000" w:themeColor="text1"/>
          <w:shd w:val="clear" w:color="auto" w:fill="FFFFFF"/>
        </w:rPr>
        <w:t xml:space="preserve"> this hypothesis</w:t>
      </w:r>
      <w:r w:rsidR="00B92C04" w:rsidRPr="003606FA">
        <w:rPr>
          <w:rFonts w:ascii="Times New Roman" w:hAnsi="Times New Roman" w:cs="Times New Roman"/>
          <w:color w:val="000000" w:themeColor="text1"/>
          <w:shd w:val="clear" w:color="auto" w:fill="FFFFFF"/>
        </w:rPr>
        <w:t xml:space="preserve"> and show </w:t>
      </w:r>
      <w:r w:rsidR="003606FA" w:rsidRPr="003606FA">
        <w:rPr>
          <w:rFonts w:ascii="Times New Roman" w:hAnsi="Times New Roman" w:cs="Times New Roman"/>
          <w:color w:val="000000" w:themeColor="text1"/>
          <w:shd w:val="clear" w:color="auto" w:fill="FFFFFF"/>
        </w:rPr>
        <w:t xml:space="preserve">an </w:t>
      </w:r>
      <w:r w:rsidR="00B92C04" w:rsidRPr="003606FA">
        <w:rPr>
          <w:rFonts w:ascii="Times New Roman" w:hAnsi="Times New Roman" w:cs="Times New Roman"/>
          <w:color w:val="000000" w:themeColor="text1"/>
          <w:shd w:val="clear" w:color="auto" w:fill="FFFFFF"/>
        </w:rPr>
        <w:t>increase</w:t>
      </w:r>
      <w:r w:rsidR="003606FA" w:rsidRPr="003606FA">
        <w:rPr>
          <w:rFonts w:ascii="Times New Roman" w:hAnsi="Times New Roman" w:cs="Times New Roman"/>
          <w:color w:val="000000" w:themeColor="text1"/>
          <w:shd w:val="clear" w:color="auto" w:fill="FFFFFF"/>
        </w:rPr>
        <w:t xml:space="preserve"> in th</w:t>
      </w:r>
      <w:r w:rsidR="003606FA">
        <w:rPr>
          <w:rFonts w:ascii="Times New Roman" w:hAnsi="Times New Roman" w:cs="Times New Roman"/>
          <w:color w:val="000000" w:themeColor="text1"/>
          <w:shd w:val="clear" w:color="auto" w:fill="FFFFFF"/>
        </w:rPr>
        <w:t xml:space="preserve">is family of </w:t>
      </w:r>
      <w:r w:rsidR="00B92C04" w:rsidRPr="003606FA">
        <w:rPr>
          <w:rFonts w:ascii="Times New Roman" w:hAnsi="Times New Roman" w:cs="Times New Roman"/>
          <w:color w:val="000000" w:themeColor="text1"/>
          <w:shd w:val="clear" w:color="auto" w:fill="FFFFFF"/>
        </w:rPr>
        <w:t xml:space="preserve">putative herbicide degrader following chemical herbicide application </w:t>
      </w:r>
      <w:r w:rsidR="003606FA" w:rsidRPr="003606FA">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{"citationItems":[{"id":"ITEM-1","itemData":{"DOI":"10.1128/AEM.02600-15","ISSN":"0099-2240","abstract":"In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.","author":[{"dropping-particle":"","family":"Feld","given":"Louise","non-dropping-particle":"","parse-names":false,"suffix":""},{"dropping-particle":"","family":"Nielsen","given":"Tue Kjærgaard","non-dropping-particle":"","parse-names":false,"suffix":""},{"dropping-particle":"","family":"Hansen","given":"Lars Hestbjerg","non-dropping-particle":"","parse-names":false,"suffix":""},{"dropping-particle":"","family":"Aamand","given":"Jens","non-dropping-particle":"","parse-names":false,"suffix":""},{"dropping-particle":"","family":"Albers","given":"Christian Nyrop","non-dropping-particle":"","parse-names":false,"suffix":""}],"container-title":"Applied and Environmental Microbiology","editor":[{"dropping-particle":"","family":"Löffler","given":"F. E.","non-dropping-particle":"","parse-names":false,"suffix":""}],"id":"ITEM-1","issue":"3","issued":{"date-parts":[["2016","2"]]},"page":"878-887","title":"Establishment of Bacterial Herbicide Degraders in a Rapid Sand Filter for Bioremediation of Phenoxypropionate-Polluted Groundwater","type":"article-journal","volume":"82"},"uris":["http://www.mendeley.com/documents/?uuid=c3062f9e-7d0f-41c6-b5b2-eaa82c2de97f"]},{"id":"ITEM-2","itemData":{"DOI":"10.1128/AEM.70.4.2391-2397.2004","ISSN":"0099-2240","abstract":"Pentachlorophenol (PCP), a highly toxic anthropogenic pesticide, can be mineralized by Sphingobium chlorophenolicum , a gram-negative bacterium isolated from PCP-contaminated soil. However, degradation of PCP is slow and S. chlorophenolicum cannot tolerate high levels of PCP. We have used genome shuffling to improve the degradation of PCP by S. chlorophenolicum . We have obtained several strains that degrade PCP faster and tolerate higher levels of PCP than the wild-type strain. Several strains obtained after the third round of shuffling can grow on one-quarter-strength tryptic soy broth plates containing 6 to 8 mM PCP, while the original strain cannot grow in the presence of PCP at concentrations higher than 0.6 mM. Some of the mutants are able to completely degrade 3 mM PCP in one-quarter-strength tryptic soy broth, whereas no degradation can be achieved by the wild-type strain. Analysis of several improved strains suggests that the improved phenotypes are due to various combinations of mutations leading to an enhanced growth rate, constitutive expression of the PCP degradation genes, and enhanced resistance to the toxicity of PCP and its metabolites.","author":[{"dropping-particle":"","family":"Dai","given":"MingHua","non-dropping-particle":"","parse-names":false,"suffix":""},{"dropping-particle":"","family":"Copley","given":"Shelley D.","non-dropping-particle":"","parse-names":false,"suffix":""}],"container-title":"Applied and Environmental Microbiology","id":"ITEM-2","issue":"4","issued":{"date-parts":[["2004","4"]]},"page":"2391-2397","title":"Genome Shuffling Improves Degradation of the Anthropogenic Pesticide Pentachlorophenol by Sphingobium chlorophenolicum ATCC 39723","type":"article-journal","volume":"70"},"uris":["http://www.mendeley.com/documents/?uuid=cdc0b11e-0ddb-49dc-88c6-b9715d8edab9"]}],"mendeley":{"formattedCitation":"(55, 56)","plainTextFormattedCitation":"(55, 56)","previouslyFormattedCitation":"(55, 56)"},"properties":{"noteIndex":0},"schema":"https://github.com/citation-style-language/schema/raw/master/csl-citation.json"}</w:instrText>
      </w:r>
      <w:r w:rsidR="003606FA" w:rsidRPr="003606FA">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(55, 56)</w:t>
      </w:r>
      <w:r w:rsidR="003606FA" w:rsidRPr="003606FA">
        <w:rPr>
          <w:rFonts w:ascii="Times New Roman" w:hAnsi="Times New Roman" w:cs="Times New Roman"/>
          <w:color w:val="000000" w:themeColor="text1"/>
          <w:shd w:val="clear" w:color="auto" w:fill="FFFFFF"/>
        </w:rPr>
        <w:fldChar w:fldCharType="end"/>
      </w:r>
      <w:r w:rsidR="00B92C04" w:rsidRP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However</w:t>
      </w:r>
      <w:r w:rsidR="003606FA">
        <w:rPr>
          <w:rFonts w:ascii="Times New Roman" w:hAnsi="Times New Roman" w:cs="Times New Roman"/>
          <w:color w:val="000000" w:themeColor="text1"/>
          <w:shd w:val="clear" w:color="auto" w:fill="FFFFFF"/>
        </w:rPr>
        <w:t>,</w:t>
      </w:r>
      <w:r w:rsidR="00B92C04">
        <w:rPr>
          <w:rFonts w:ascii="Times New Roman" w:hAnsi="Times New Roman" w:cs="Times New Roman"/>
          <w:color w:val="000000" w:themeColor="text1"/>
          <w:shd w:val="clear" w:color="auto" w:fill="FFFFFF"/>
        </w:rPr>
        <w:t xml:space="preserve"> as</w:t>
      </w:r>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003606FA">
        <w:rPr>
          <w:rFonts w:ascii="Times New Roman" w:hAnsi="Times New Roman" w:cs="Times New Roman"/>
          <w:color w:val="000000" w:themeColor="text1"/>
          <w:shd w:val="clear" w:color="auto" w:fill="FFFFFF"/>
        </w:rPr>
        <w:t xml:space="preserve"> as well</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2F4D3B">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(44)</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 xml:space="preserve"> </w:t>
      </w:r>
    </w:p>
    <w:p w14:paraId="03644A58" w14:textId="2E8CF4AF" w:rsidR="00B92C04"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(57–59)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3606F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w:t>
      </w:r>
      <w:r w:rsidRPr="00B3074D">
        <w:rPr>
          <w:rFonts w:ascii="Times New Roman" w:hAnsi="Times New Roman" w:cs="Times New Roman"/>
          <w:color w:val="000000" w:themeColor="text1"/>
          <w:shd w:val="clear" w:color="auto" w:fill="FFFFFF"/>
        </w:rPr>
        <w:lastRenderedPageBreak/>
        <w:t xml:space="preserve">activity. Thus, our ability to say whether PHOS activity was affected by weed removal treatment is limited. </w:t>
      </w:r>
    </w:p>
    <w:p w14:paraId="37487D53" w14:textId="32C6DDAE" w:rsidR="003606FA" w:rsidRPr="003606FA" w:rsidRDefault="003606FA" w:rsidP="00B3074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xml:space="preserve">Unintended effects of herbicide application, whether that be non-target effects on local plant communities or shifts in pathogen abundance are a cause for concern and underscore the need for a systems-based approach to production agriculture. While our results suggest most effects from herbicide application to be indirectly mediated and relatively short lived, we also report increased abundance of the fungal family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under specific herbicide treatments. Members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like </w:t>
      </w:r>
      <w:proofErr w:type="spellStart"/>
      <w:r w:rsidRPr="003606FA">
        <w:rPr>
          <w:rFonts w:ascii="Times New Roman" w:hAnsi="Times New Roman" w:cs="Times New Roman"/>
          <w:i/>
          <w:iCs/>
          <w:color w:val="000000" w:themeColor="text1"/>
          <w:shd w:val="clear" w:color="auto" w:fill="FFFFFF"/>
        </w:rPr>
        <w:t>Rhizoctoina</w:t>
      </w:r>
      <w:proofErr w:type="spellEnd"/>
      <w:r>
        <w:rPr>
          <w:rFonts w:ascii="Times New Roman" w:hAnsi="Times New Roman" w:cs="Times New Roman"/>
          <w:i/>
          <w:iCs/>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are plant pathogens responsible for costly diseases in both crops and turf grass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{"citationItems":[{"id":"ITEM-1","itemData":{"DOI":"10.1525/9780520318243","ISBN":"9780520318243","author":[{"dropping-particle":"","family":"Parmeter","given":"John R.","non-dropping-particle":"","parse-names":false,"suffix":""}],"editor":[{"dropping-particle":"","family":"Parmeter","given":"John R.","non-dropping-particle":"","parse-names":false,"suffix":""}],"id":"ITEM-1","issued":{"date-parts":[["1970","12","31"]]},"publisher":"University of California Press","title":"Rhizoctonia Solani, Biology and Pathology","type":"book"},"uris":["http://www.mendeley.com/documents/?uuid=cc16293c-99d7-4957-bea7-20dbe16b4ce2"]}],"mendeley":{"formattedCitation":"(61)","plainTextFormattedCitation":"(61)","previouslyFormattedCitation":"(61)"},"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(61)</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Previous research has shown application of glyphosate-based herbicides to increase disease severity of rhizoctonia on sugar beet in glasshouse settings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{"citationItems":[{"id":"ITEM-1","itemData":{"DOI":"10.1002/ps.1297","ISSN":"1526498X","PMID":"16988927","abstract":"This study tests the effect of glyphosate application on disease severity in glyphosate-resistant sugar beet, and examines whether the increase in disease is fungal or plant mediated. In greenhouse studies of glyphosate-resistant sugar beet, increased disease severity was observed following glyphosate application and inoculation with certain isolates of Rhizoctonia solani Kuhn and Fusarium oxysporum Schlecht. f. sp. betae Snyd. &amp; Hans. Significant increases in disease severity were noted for R. solani AG-2-2 isolate R-9 and moderately virulent F. oxysporum isolate FOB13 on both cultivars tested, regardless of the duration between glyphosate application and pathogen challenge, but not with highly virulent F. oxysporum isolate F-19 or an isolate of R. solani AG-4. The increase in disease does not appear to be fungal mediated, since in vitro studies showed no positive impact of glyphosate on fungal growth or overwintering structure production or germination for either pathogen. Studies of glyphosate impact on sugar beet physiology showed that shikimic acid accumulation is tissue specific and the rate of accumulation is greatly reduced in resistant cultivars when compared with a susceptible cultivar. The results indicate that precautions need to be taken when certain soil-borne diseases are present if weed management for sugar beet is to include post-emergence glyphosate treatments. © 2006 Society of Chemical Industry.","author":[{"dropping-particle":"","family":"Larson","given":"Rebecca L.","non-dropping-particle":"","parse-names":false,"suffix":""},{"dropping-particle":"","family":"Hill","given":"Amy L.","non-dropping-particle":"","parse-names":false,"suffix":""},{"dropping-particle":"","family":"Fenwick","given":"Ann","non-dropping-particle":"","parse-names":false,"suffix":""},{"dropping-particle":"","family":"Kniss","given":"Andrew R.","non-dropping-particle":"","parse-names":false,"suffix":""},{"dropping-particle":"","family":"Hanson","given":"Linda E.","non-dropping-particle":"","parse-names":false,"suffix":""},{"dropping-particle":"","family":"Miller","given":"Stephen D.","non-dropping-particle":"","parse-names":false,"suffix":""}],"container-title":"Pest Management Science","id":"ITEM-1","issue":"12","issued":{"date-parts":[["2006","12"]]},"page":"1182-1192","title":"Influence of glyphosate on Rhizoctonia and Fusarium root rot in sugar beet","type":"article-journal","volume":"62"},"uris":["http://www.mendeley.com/documents/?uuid=20328cee-62bf-485b-ba86-9972024cee14"]}],"mendeley":{"formattedCitation":"(62)","plainTextFormattedCitation":"(62)","previouslyFormattedCitation":"(62)"},"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(62)</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though conflicting results exist and show a cultivar specific response </w:t>
      </w: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{"citationItems":[{"id":"ITEM-1","itemData":{"DOI":"10.1614/WS-D-11-00027.1","ISSN":"0043-1745","abstract":"Previous greenhouse studies with a noncommercial glyphosate-resistant sugarbeet variety indicated that susceptibility to Rhizoctonia crown and root rot could increase after glyphosate was applied. Greenhouse and field experiments were conducted in 2008 and 2009 to determine if glyphosate influenced disease severity in potential commercially available varieties of glyphosate-resistant sugarbeet. In the first greenhouse experiment in 2008, Hilleshög 9027RR, the most tolerant variety to Rhizoctonia crown and root rot, exhibited an increase in disease severity when glyphosate was applied. There were no significant differences between herbicide treatments in Hilleshög 9028RR, and glyphosate decreased disease severity in Hilleshög 9032RR when compared with the no-herbicide treatment. Experiments conducted to determine if glyphosate influenced Rhizoctonia solani growth in vitro indicated that glyphosate did not increase the radial growth of R. solani , except at 10× (190 µg ae ml −1 ) the normal rate of glyphosate plus ammonium sulfate (AMS). Field and additional greenhouse experiments were conducted using four commercial varieties. Differences in disease severity were observed when comparing varieties, but glyphosate did not significantly influence the severity of Rhizoctonia crown and root rot when compared with the no-herbicide control. Choosing a glyphosate-resistant sugarbeet variety with the best demonstrated tolerance to Rhizoctonia crown and root rot is an important factor in reducing disease severity and maintaining sugarbeet yield.","author":[{"dropping-particle":"","family":"Barnett","given":"Kelly A.","non-dropping-particle":"","parse-names":false,"suffix":""},{"dropping-particle":"","family":"Sprague","given":"Christy L.","non-dropping-particle":"","parse-names":false,"suffix":""},{"dropping-particle":"","family":"Kirk","given":"William W.","non-dropping-particle":"","parse-names":false,"suffix":""},{"dropping-particle":"","family":"Hanson","given":"Linda E.","non-dropping-particle":"","parse-names":false,"suffix":""}],"container-title":"Weed Science","id":"ITEM-1","issue":"1","issued":{"date-parts":[["2012","3","20"]]},"page":"113-120","title":"Influence of Glyphosate on Rhizoctonia Crown and Root Rot ( Rhizoctonia solani ) in Glyphosate-Resistant Sugarbeet","type":"article-journal","volume":"60"},"uris":["http://www.mendeley.com/documents/?uuid=f61da0dc-0a76-448b-994b-1357300dd54d"]}],"mendeley":{"formattedCitation":"(63)","plainTextFormattedCitation":"(63)","previouslyFormattedCitation":"(63)"},"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Pr="003606FA">
        <w:rPr>
          <w:rFonts w:ascii="Times New Roman" w:hAnsi="Times New Roman" w:cs="Times New Roman"/>
          <w:noProof/>
          <w:color w:val="000000" w:themeColor="text1"/>
          <w:shd w:val="clear" w:color="auto" w:fill="FFFFFF"/>
        </w:rPr>
        <w:t>(63)</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However, given that we did not measure lesion formation, we cannot say whether the statistically significant increase in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following application translated to a biologically meaningful increase in disease severity. </w:t>
      </w:r>
    </w:p>
    <w:p w14:paraId="0B99EE47" w14:textId="3E8412B1"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r>
      <w:r w:rsidR="003606FA">
        <w:rPr>
          <w:rFonts w:ascii="Times New Roman" w:hAnsi="Times New Roman" w:cs="Times New Roman"/>
          <w:color w:val="000000" w:themeColor="text1"/>
          <w:shd w:val="clear" w:color="auto" w:fill="FFFFFF"/>
        </w:rPr>
        <w:t>Together, o</w:t>
      </w:r>
      <w:r w:rsidRPr="00B3074D">
        <w:rPr>
          <w:rFonts w:ascii="Times New Roman" w:hAnsi="Times New Roman" w:cs="Times New Roman"/>
          <w:color w:val="000000" w:themeColor="text1"/>
          <w:shd w:val="clear" w:color="auto" w:fill="FFFFFF"/>
        </w:rPr>
        <w:t xml:space="preserve">ur results suggests that herbicide application has limited </w:t>
      </w:r>
      <w:r w:rsidR="003606FA">
        <w:rPr>
          <w:rFonts w:ascii="Times New Roman" w:hAnsi="Times New Roman" w:cs="Times New Roman"/>
          <w:color w:val="000000" w:themeColor="text1"/>
          <w:shd w:val="clear" w:color="auto" w:fill="FFFFFF"/>
        </w:rPr>
        <w:t xml:space="preserve">direct </w:t>
      </w:r>
      <w:r w:rsidRPr="00B3074D">
        <w:rPr>
          <w:rFonts w:ascii="Times New Roman" w:hAnsi="Times New Roman" w:cs="Times New Roman"/>
          <w:color w:val="000000" w:themeColor="text1"/>
          <w:shd w:val="clear" w:color="auto" w:fill="FFFFFF"/>
        </w:rPr>
        <w:t xml:space="preserve">effects on </w:t>
      </w:r>
      <w:r w:rsidR="003606FA">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soil</w:t>
      </w:r>
      <w:r w:rsidR="003606FA">
        <w:rPr>
          <w:rFonts w:ascii="Times New Roman" w:hAnsi="Times New Roman" w:cs="Times New Roman"/>
          <w:color w:val="000000" w:themeColor="text1"/>
          <w:shd w:val="clear" w:color="auto" w:fill="FFFFFF"/>
        </w:rPr>
        <w:t xml:space="preserve"> microbiome and edaphic conditions</w:t>
      </w:r>
      <w:r w:rsidRPr="00B3074D">
        <w:rPr>
          <w:rFonts w:ascii="Times New Roman" w:hAnsi="Times New Roman" w:cs="Times New Roman"/>
          <w:color w:val="000000" w:themeColor="text1"/>
          <w:shd w:val="clear" w:color="auto" w:fill="FFFFFF"/>
        </w:rPr>
        <w:t xml:space="preserve">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3606FA">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003606FA">
        <w:rPr>
          <w:rFonts w:ascii="Times New Roman" w:hAnsi="Times New Roman" w:cs="Times New Roman"/>
          <w:color w:val="000000" w:themeColor="text1"/>
          <w:shd w:val="clear" w:color="auto" w:fill="FFFFFF"/>
        </w:rPr>
        <w:t>We suggest that t</w:t>
      </w:r>
      <w:r w:rsidRPr="00B3074D">
        <w:rPr>
          <w:rFonts w:ascii="Times New Roman" w:hAnsi="Times New Roman" w:cs="Times New Roman"/>
          <w:color w:val="000000" w:themeColor="text1"/>
          <w:shd w:val="clear" w:color="auto" w:fill="FFFFFF"/>
        </w:rPr>
        <w:t>he observed differences are most likely mediated through indirect effects</w:t>
      </w:r>
      <w:r w:rsidR="003606FA">
        <w:rPr>
          <w:rFonts w:ascii="Times New Roman" w:hAnsi="Times New Roman" w:cs="Times New Roman"/>
          <w:color w:val="000000" w:themeColor="text1"/>
          <w:shd w:val="clear" w:color="auto" w:fill="FFFFFF"/>
        </w:rPr>
        <w:t xml:space="preserve"> caused by changes in vegetation cover</w:t>
      </w:r>
      <w:r w:rsidRPr="00B3074D">
        <w:rPr>
          <w:rFonts w:ascii="Times New Roman" w:hAnsi="Times New Roman" w:cs="Times New Roman"/>
          <w:color w:val="000000" w:themeColor="text1"/>
          <w:shd w:val="clear" w:color="auto" w:fill="FFFFFF"/>
        </w:rPr>
        <w:t xml:space="preserve">. Our findings are not all that surprising due to the high degree of functional redundancy in the soil microbiome </w:t>
      </w:r>
      <w:r w:rsidRPr="00B3074D">
        <w:rPr>
          <w:rFonts w:ascii="Times New Roman" w:hAnsi="Times New Roman" w:cs="Times New Roman"/>
        </w:rPr>
        <w:fldChar w:fldCharType="begin" w:fldLock="1"/>
      </w:r>
      <w:r w:rsidR="003606F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relationships","type":"article-journal","volume":"62"},"uris":["http://www.mendeley.com/documents/?uuid=a50e67e9-8be9-4934-87a6-9cb98e6831d5"]}],"mendeley":{"formattedCitation":"(64, 65)","plainTextFormattedCitation":"(64, 65)","previouslyFormattedCitation":"(64, 65)"},"properties":{"noteIndex":0},"schema":"https://github.com/citation-style-language/schema/raw/master/csl-citation.json"}</w:instrText>
      </w:r>
      <w:r w:rsidRPr="00B3074D">
        <w:rPr>
          <w:rFonts w:ascii="Times New Roman" w:hAnsi="Times New Roman" w:cs="Times New Roman"/>
        </w:rPr>
        <w:fldChar w:fldCharType="separate"/>
      </w:r>
      <w:r w:rsidR="003606FA" w:rsidRPr="003606FA">
        <w:rPr>
          <w:rFonts w:ascii="Times New Roman" w:hAnsi="Times New Roman" w:cs="Times New Roman"/>
          <w:noProof/>
        </w:rPr>
        <w:t>(64, 65)</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With respect to herbicide application in agricultural systems, it appears that direct effects on microbial function are few and short lasting and that in heavily managed, traditional agricultural systems, the choice of herbicide has little direct effect on soil function and</w:t>
      </w:r>
      <w:r w:rsidR="003606FA">
        <w:rPr>
          <w:rFonts w:ascii="Times New Roman" w:hAnsi="Times New Roman" w:cs="Times New Roman"/>
          <w:color w:val="000000" w:themeColor="text1"/>
          <w:shd w:val="clear" w:color="auto" w:fill="FFFFFF"/>
        </w:rPr>
        <w:t xml:space="preserve"> microbial diversity.</w:t>
      </w:r>
      <w:r w:rsidRPr="00B3074D">
        <w:rPr>
          <w:rFonts w:ascii="Times New Roman" w:hAnsi="Times New Roman" w:cs="Times New Roman"/>
          <w:color w:val="000000" w:themeColor="text1"/>
          <w:shd w:val="clear" w:color="auto" w:fill="FFFFFF"/>
        </w:rPr>
        <w:t xml:space="preserve">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5EC2EB7A" w14:textId="360AA74A" w:rsidR="003606FA" w:rsidRPr="003606FA" w:rsidRDefault="002F4D3B" w:rsidP="003606FA">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3606FA" w:rsidRPr="003606FA">
        <w:rPr>
          <w:rFonts w:ascii="Times New Roman" w:hAnsi="Times New Roman" w:cs="Times New Roman"/>
          <w:noProof/>
        </w:rPr>
        <w:t xml:space="preserve">1. </w:t>
      </w:r>
      <w:r w:rsidR="003606FA" w:rsidRPr="003606FA">
        <w:rPr>
          <w:rFonts w:ascii="Times New Roman" w:hAnsi="Times New Roman" w:cs="Times New Roman"/>
          <w:noProof/>
        </w:rPr>
        <w:tab/>
        <w:t>Benbrook CM. 2012. Impacts of genetically engineered crops on pesticide use in the U.S.-the first sixteen years. Environ Sci Eur 24:1–13.</w:t>
      </w:r>
    </w:p>
    <w:p w14:paraId="76D0867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 </w:t>
      </w:r>
      <w:r w:rsidRPr="003606FA">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38C3EA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 </w:t>
      </w:r>
      <w:r w:rsidRPr="003606FA">
        <w:rPr>
          <w:rFonts w:ascii="Times New Roman" w:hAnsi="Times New Roman" w:cs="Times New Roman"/>
          <w:noProof/>
        </w:rPr>
        <w:tab/>
        <w:t>Palm C, Blanco-Canqui H, DeClerck F, Gatere L, Grace P. 2014. Conservation agriculture and ecosystem services: An overview. Agric Ecosyst Environ 187:87–105.</w:t>
      </w:r>
    </w:p>
    <w:p w14:paraId="4F0399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 </w:t>
      </w:r>
      <w:r w:rsidRPr="003606FA">
        <w:rPr>
          <w:rFonts w:ascii="Times New Roman" w:hAnsi="Times New Roman" w:cs="Times New Roman"/>
          <w:noProof/>
        </w:rPr>
        <w:tab/>
        <w:t>Tu CM, Bollen WB. 1968. Interaction between Paraquat and microbes in soils. Weed Res 8:38–45.</w:t>
      </w:r>
    </w:p>
    <w:p w14:paraId="581FE7A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 </w:t>
      </w:r>
      <w:r w:rsidRPr="003606FA">
        <w:rPr>
          <w:rFonts w:ascii="Times New Roman" w:hAnsi="Times New Roman" w:cs="Times New Roman"/>
          <w:noProof/>
        </w:rPr>
        <w:tab/>
        <w:t>Nguyen DB, Rose MT, Rose TJ, Morris SG, van Zwieten L. 2016. Impact of glyphosate on soil microbial biomass and respiration: A meta-analysis. Soil Biol Biochem 92:50–57.</w:t>
      </w:r>
    </w:p>
    <w:p w14:paraId="5B07654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 </w:t>
      </w:r>
      <w:r w:rsidRPr="003606FA">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45C4828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7. </w:t>
      </w:r>
      <w:r w:rsidRPr="003606FA">
        <w:rPr>
          <w:rFonts w:ascii="Times New Roman" w:hAnsi="Times New Roman" w:cs="Times New Roman"/>
          <w:noProof/>
        </w:rPr>
        <w:tab/>
        <w:t>Liao H, Li X, Yang Q, Bai Y, Cui P, Wen C, Liu C, Chen Z. 2021. Herbicide selection promotes antibiotic resistance in soil microbiomes.</w:t>
      </w:r>
    </w:p>
    <w:p w14:paraId="1ED0179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8. </w:t>
      </w:r>
      <w:r w:rsidRPr="003606FA">
        <w:rPr>
          <w:rFonts w:ascii="Times New Roman" w:hAnsi="Times New Roman" w:cs="Times New Roman"/>
          <w:noProof/>
        </w:rPr>
        <w:tab/>
        <w:t>de Souza R, Ambrosini A, Passaglia LMP. 2015. Plant growth-promoting bacteria as inoculants in agricultural soils. Genet Mol Biol 38:401–419.</w:t>
      </w:r>
    </w:p>
    <w:p w14:paraId="3025A53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9. </w:t>
      </w:r>
      <w:r w:rsidRPr="003606FA">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2F40130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10. </w:t>
      </w:r>
      <w:r w:rsidRPr="003606FA">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4826205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11. </w:t>
      </w:r>
      <w:r w:rsidRPr="003606FA">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9B4C4E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12. </w:t>
      </w:r>
      <w:r w:rsidRPr="003606FA">
        <w:rPr>
          <w:rFonts w:ascii="Times New Roman" w:hAnsi="Times New Roman" w:cs="Times New Roman"/>
          <w:noProof/>
        </w:rPr>
        <w:tab/>
        <w:t>Richardson AE, Simpson RJ. 2011. Soil Microorganisms Mediating Phosphorus Availability Update on Microbial Phosphorus. Plant Physiol 156:989–996.</w:t>
      </w:r>
    </w:p>
    <w:p w14:paraId="26F2134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13. </w:t>
      </w:r>
      <w:r w:rsidRPr="003606FA">
        <w:rPr>
          <w:rFonts w:ascii="Times New Roman" w:hAnsi="Times New Roman" w:cs="Times New Roman"/>
          <w:noProof/>
        </w:rPr>
        <w:tab/>
        <w:t>Garcia J, Kao-Kniffin J. 2018. Microbial Group Dynamics in Plant Rhizospheres and Their Implications on Nutrient Cycling. Front Microbiol 9:1–7.</w:t>
      </w:r>
    </w:p>
    <w:p w14:paraId="2FDA6A5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14. </w:t>
      </w:r>
      <w:r w:rsidRPr="003606FA">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692DE2B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15. </w:t>
      </w:r>
      <w:r w:rsidRPr="003606FA">
        <w:rPr>
          <w:rFonts w:ascii="Times New Roman" w:hAnsi="Times New Roman" w:cs="Times New Roman"/>
          <w:noProof/>
        </w:rPr>
        <w:tab/>
        <w:t>Imfeld G, Vuilleumier S. 2012. Measuring the effects of pesticides on bacterial communities in soil: A critical review. Eur J Soil Biol 49:22–30.</w:t>
      </w:r>
    </w:p>
    <w:p w14:paraId="205E99C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16. </w:t>
      </w:r>
      <w:r w:rsidRPr="003606FA">
        <w:rPr>
          <w:rFonts w:ascii="Times New Roman" w:hAnsi="Times New Roman" w:cs="Times New Roman"/>
          <w:noProof/>
        </w:rPr>
        <w:tab/>
        <w:t>Bünemann EK, Schwenke GD, Van Zwieten L. 2006. Impact of agricultural inputs on soil organisms - A review. Aust J Soil Res 44:379–406.</w:t>
      </w:r>
    </w:p>
    <w:p w14:paraId="683D922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17. </w:t>
      </w:r>
      <w:r w:rsidRPr="003606FA">
        <w:rPr>
          <w:rFonts w:ascii="Times New Roman" w:hAnsi="Times New Roman" w:cs="Times New Roman"/>
          <w:noProof/>
        </w:rPr>
        <w:tab/>
        <w:t>Puglisi E. 2017. Response of microbial organisms (aquatic and terrestrial) to pesticides. EFSA Support Publ 9.</w:t>
      </w:r>
    </w:p>
    <w:p w14:paraId="1D1D950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18. </w:t>
      </w:r>
      <w:r w:rsidRPr="003606FA">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12E9F3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19. </w:t>
      </w:r>
      <w:r w:rsidRPr="003606FA">
        <w:rPr>
          <w:rFonts w:ascii="Times New Roman" w:hAnsi="Times New Roman" w:cs="Times New Roman"/>
          <w:noProof/>
        </w:rPr>
        <w:tab/>
        <w:t xml:space="preserve">Weidenhamer JD, Callaway RM. 2010. Direct and Indirect Effects of Invasive Plants on </w:t>
      </w:r>
      <w:r w:rsidRPr="003606FA">
        <w:rPr>
          <w:rFonts w:ascii="Times New Roman" w:hAnsi="Times New Roman" w:cs="Times New Roman"/>
          <w:noProof/>
        </w:rPr>
        <w:lastRenderedPageBreak/>
        <w:t>Soil Chemistry and Ecosystem Function. J Chem Ecol 36:59–69.</w:t>
      </w:r>
    </w:p>
    <w:p w14:paraId="343D87C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20. </w:t>
      </w:r>
      <w:r w:rsidRPr="003606FA">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378FC2D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21. </w:t>
      </w:r>
      <w:r w:rsidRPr="003606FA">
        <w:rPr>
          <w:rFonts w:ascii="Times New Roman" w:hAnsi="Times New Roman" w:cs="Times New Roman"/>
          <w:noProof/>
        </w:rPr>
        <w:tab/>
        <w:t>García-Delgado C, Barba-Vicente V, Marín-Benito JM, Mariano Igual J, Sánchez-Martín MJ, Sonia Rodríguez-Cruz M. 2019. Influence of different agricultural management practices on soil microbial community over dissipation time of two herbicides. Sci Total Environ 646:1478–1488.</w:t>
      </w:r>
    </w:p>
    <w:p w14:paraId="2132F6F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22. </w:t>
      </w:r>
      <w:r w:rsidRPr="003606FA">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3B385B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23. </w:t>
      </w:r>
      <w:r w:rsidRPr="003606FA">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7C2AC3B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24. </w:t>
      </w:r>
      <w:r w:rsidRPr="003606FA">
        <w:rPr>
          <w:rFonts w:ascii="Times New Roman" w:hAnsi="Times New Roman" w:cs="Times New Roman"/>
          <w:noProof/>
        </w:rPr>
        <w:tab/>
        <w:t>Riah W, Laval K, Laroche-Ajzenberg E, Mougin C, Latour X, Trinsoutrot-Gattin I. 2014. Effects of pesticides on soil enzymes: A review. Environ Chem Lett 12:257–273.</w:t>
      </w:r>
    </w:p>
    <w:p w14:paraId="0FA468E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25. </w:t>
      </w:r>
      <w:r w:rsidRPr="003606FA">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3158483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26. </w:t>
      </w:r>
      <w:r w:rsidRPr="003606FA">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22D6727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27. </w:t>
      </w:r>
      <w:r w:rsidRPr="003606FA">
        <w:rPr>
          <w:rFonts w:ascii="Times New Roman" w:hAnsi="Times New Roman" w:cs="Times New Roman"/>
          <w:noProof/>
        </w:rPr>
        <w:tab/>
        <w:t xml:space="preserve">Brempong MB, Norton U, Norton JB. 2019. Compost and soil moisture effects on </w:t>
      </w:r>
      <w:r w:rsidRPr="003606FA">
        <w:rPr>
          <w:rFonts w:ascii="Times New Roman" w:hAnsi="Times New Roman" w:cs="Times New Roman"/>
          <w:noProof/>
        </w:rPr>
        <w:lastRenderedPageBreak/>
        <w:t>seasonal carbon and nitrogen dynamics, greenhouse gas fluxes and global warming potential of semi-arid soils. Int J Recycl Org Waste Agric 8:367–376.</w:t>
      </w:r>
    </w:p>
    <w:p w14:paraId="17F12F7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28. </w:t>
      </w:r>
      <w:r w:rsidRPr="003606FA">
        <w:rPr>
          <w:rFonts w:ascii="Times New Roman" w:hAnsi="Times New Roman" w:cs="Times New Roman"/>
          <w:noProof/>
        </w:rPr>
        <w:tab/>
        <w:t xml:space="preserve"> 2020. Standard Methods Online -- Standard Methods for the Examination of Water and Wastewater.</w:t>
      </w:r>
    </w:p>
    <w:p w14:paraId="1AB5EC74"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29. </w:t>
      </w:r>
      <w:r w:rsidRPr="003606FA">
        <w:rPr>
          <w:rFonts w:ascii="Times New Roman" w:hAnsi="Times New Roman" w:cs="Times New Roman"/>
          <w:noProof/>
        </w:rPr>
        <w:tab/>
        <w:t>Bell CW, Fricks BE, Rocca JD, Steinweg JM, McMahon SK, Wallenstein MD. 2013. High-throughput Fluorometric Measurement of Potential Soil Extracellular Enzyme Activities. J Vis Exp 1–16.</w:t>
      </w:r>
    </w:p>
    <w:p w14:paraId="503CCEE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30. </w:t>
      </w:r>
      <w:r w:rsidRPr="003606FA">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47DAF0B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31. </w:t>
      </w:r>
      <w:r w:rsidRPr="003606FA">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3551E3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32. </w:t>
      </w:r>
      <w:r w:rsidRPr="003606FA">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219F7C6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33. </w:t>
      </w:r>
      <w:r w:rsidRPr="003606FA">
        <w:rPr>
          <w:rFonts w:ascii="Times New Roman" w:hAnsi="Times New Roman" w:cs="Times New Roman"/>
          <w:noProof/>
        </w:rPr>
        <w:tab/>
        <w:t>Custer GF, VanDiepen LTA, Stump WL. 2020. Structural and functional dynamics of soil microbes following spruce beetle infestation. Appl Environ Microbiol 86:1–19.</w:t>
      </w:r>
    </w:p>
    <w:p w14:paraId="7E73B96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34. </w:t>
      </w:r>
      <w:r w:rsidRPr="003606FA">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89CA3A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35. </w:t>
      </w:r>
      <w:r w:rsidRPr="003606FA">
        <w:rPr>
          <w:rFonts w:ascii="Times New Roman" w:hAnsi="Times New Roman" w:cs="Times New Roman"/>
          <w:noProof/>
        </w:rPr>
        <w:tab/>
        <w:t xml:space="preserve">Parada AE, Needham DM, Fuhrman JA. 2016. Every base matters: Assessing small subunit rRNA primers for marine microbiomes with mock communities, time series and </w:t>
      </w:r>
      <w:r w:rsidRPr="003606FA">
        <w:rPr>
          <w:rFonts w:ascii="Times New Roman" w:hAnsi="Times New Roman" w:cs="Times New Roman"/>
          <w:noProof/>
        </w:rPr>
        <w:lastRenderedPageBreak/>
        <w:t>global field samples. Environ Microbiol 18:1403–1414.</w:t>
      </w:r>
    </w:p>
    <w:p w14:paraId="6C3EDB43"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36. </w:t>
      </w:r>
      <w:r w:rsidRPr="003606FA">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426E8FE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37. </w:t>
      </w:r>
      <w:r w:rsidRPr="003606FA">
        <w:rPr>
          <w:rFonts w:ascii="Times New Roman" w:hAnsi="Times New Roman" w:cs="Times New Roman"/>
          <w:noProof/>
        </w:rPr>
        <w:tab/>
        <w:t>Gardes M, Bruns TD. 1993. ITS primers with enhanced specificity for basidiomycetes ‐ application to the identification of mycorrhizae and rusts. Mol Ecol 2:113–118.</w:t>
      </w:r>
    </w:p>
    <w:p w14:paraId="26926C0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38. </w:t>
      </w:r>
      <w:r w:rsidRPr="003606FA">
        <w:rPr>
          <w:rFonts w:ascii="Times New Roman" w:hAnsi="Times New Roman" w:cs="Times New Roman"/>
          <w:noProof/>
        </w:rPr>
        <w:tab/>
        <w:t xml:space="preserve">White TJ, Bruns T, Lee S, Taylor J. 1990. Amplification and direct sequencing of fungal ribosomal RNA genes for phylogenetics, p. 315–322. </w:t>
      </w:r>
      <w:r w:rsidRPr="003606FA">
        <w:rPr>
          <w:rFonts w:ascii="Times New Roman" w:hAnsi="Times New Roman" w:cs="Times New Roman"/>
          <w:i/>
          <w:iCs/>
          <w:noProof/>
        </w:rPr>
        <w:t>In</w:t>
      </w:r>
      <w:r w:rsidRPr="003606FA">
        <w:rPr>
          <w:rFonts w:ascii="Times New Roman" w:hAnsi="Times New Roman" w:cs="Times New Roman"/>
          <w:noProof/>
        </w:rPr>
        <w:t xml:space="preserve"> PCR Protocols. Elsevier.</w:t>
      </w:r>
    </w:p>
    <w:p w14:paraId="5A461D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39. </w:t>
      </w:r>
      <w:r w:rsidRPr="003606FA">
        <w:rPr>
          <w:rFonts w:ascii="Times New Roman" w:hAnsi="Times New Roman" w:cs="Times New Roman"/>
          <w:noProof/>
        </w:rPr>
        <w:tab/>
        <w:t>R Development Core Team. 2020. A Language and Environment for Statistical Computing. R Found Stat Comput. Vienna, Austria.</w:t>
      </w:r>
    </w:p>
    <w:p w14:paraId="4EF43CF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40. </w:t>
      </w:r>
      <w:r w:rsidRPr="003606FA">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0AD2AFF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41. </w:t>
      </w:r>
      <w:r w:rsidRPr="003606FA">
        <w:rPr>
          <w:rFonts w:ascii="Times New Roman" w:hAnsi="Times New Roman" w:cs="Times New Roman"/>
          <w:noProof/>
        </w:rPr>
        <w:tab/>
        <w:t>McMurdie PJ, Holmes S. 2013. phyloseq: An R Package for Reproducible Interactive Analysis and Graphics of Microbiome Census Data. PLoS One 8:1–11.</w:t>
      </w:r>
    </w:p>
    <w:p w14:paraId="4FB6267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42. </w:t>
      </w:r>
      <w:r w:rsidRPr="003606FA">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19EFA8B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43. </w:t>
      </w:r>
      <w:r w:rsidRPr="003606FA">
        <w:rPr>
          <w:rFonts w:ascii="Times New Roman" w:hAnsi="Times New Roman" w:cs="Times New Roman"/>
          <w:noProof/>
        </w:rPr>
        <w:tab/>
        <w:t>Berg B, McClaugherty C. 2014. Plant LitterCarbon. Springer Berlin Heidelberg, Berlin, Heidelberg.</w:t>
      </w:r>
    </w:p>
    <w:p w14:paraId="1A28080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44. </w:t>
      </w:r>
      <w:r w:rsidRPr="003606FA">
        <w:rPr>
          <w:rFonts w:ascii="Times New Roman" w:hAnsi="Times New Roman" w:cs="Times New Roman"/>
          <w:noProof/>
        </w:rPr>
        <w:tab/>
        <w:t>Damin V, Triveli P. 2011. Herbicides Effect on Nitrogen Cycling in AgroecossystemsHerbicides and Environment. InTech.</w:t>
      </w:r>
    </w:p>
    <w:p w14:paraId="0CC92AC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45. </w:t>
      </w:r>
      <w:r w:rsidRPr="003606FA">
        <w:rPr>
          <w:rFonts w:ascii="Times New Roman" w:hAnsi="Times New Roman" w:cs="Times New Roman"/>
          <w:noProof/>
        </w:rPr>
        <w:tab/>
        <w:t xml:space="preserve">Mahía J, González-Prieto SJ, Martín A, Bååth E, Díaz-Raviña M. 2011. Biochemical </w:t>
      </w:r>
      <w:r w:rsidRPr="003606FA">
        <w:rPr>
          <w:rFonts w:ascii="Times New Roman" w:hAnsi="Times New Roman" w:cs="Times New Roman"/>
          <w:noProof/>
        </w:rPr>
        <w:lastRenderedPageBreak/>
        <w:t>properties and microbial community structure of five different soils after atrazine addition. Biol Fertil Soils 47:577–589.</w:t>
      </w:r>
    </w:p>
    <w:p w14:paraId="1C7A97D1"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46. </w:t>
      </w:r>
      <w:r w:rsidRPr="003606FA">
        <w:rPr>
          <w:rFonts w:ascii="Times New Roman" w:hAnsi="Times New Roman" w:cs="Times New Roman"/>
          <w:noProof/>
        </w:rPr>
        <w:tab/>
        <w:t>Millard P, Singh BK. 2010. Does grassland vegetation drive soil microbial diversity? Nutr Cycl Agroecosystems 88:147–158.</w:t>
      </w:r>
    </w:p>
    <w:p w14:paraId="261EF502"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47. </w:t>
      </w:r>
      <w:r w:rsidRPr="003606FA">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0CAA1D8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48. </w:t>
      </w:r>
      <w:r w:rsidRPr="003606FA">
        <w:rPr>
          <w:rFonts w:ascii="Times New Roman" w:hAnsi="Times New Roman" w:cs="Times New Roman"/>
          <w:noProof/>
        </w:rPr>
        <w:tab/>
        <w:t>Hébert M, Fugère V, Gonzalez A. 2019. The overlooked impact of rising glyphosate use on phosphorus loading in agricultural watersheds. Front Ecol Environ 17:48–56.</w:t>
      </w:r>
    </w:p>
    <w:p w14:paraId="753B88A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49. </w:t>
      </w:r>
      <w:r w:rsidRPr="003606FA">
        <w:rPr>
          <w:rFonts w:ascii="Times New Roman" w:hAnsi="Times New Roman" w:cs="Times New Roman"/>
          <w:noProof/>
        </w:rPr>
        <w:tab/>
        <w:t>West SA, Diggle SP, Buckling A, Gardner A, Griffin AS. 2007. The Social Lives of Microbes. Annu Rev Ecol Evol Syst 38:53–77.</w:t>
      </w:r>
    </w:p>
    <w:p w14:paraId="07F73D6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50. </w:t>
      </w:r>
      <w:r w:rsidRPr="003606FA">
        <w:rPr>
          <w:rFonts w:ascii="Times New Roman" w:hAnsi="Times New Roman" w:cs="Times New Roman"/>
          <w:noProof/>
        </w:rPr>
        <w:tab/>
        <w:t>Płatkowski M, Telesiński A. 2016. Response of soil phosphatases to glyphosate and its formulations – Roundup (laboratory conditions). Plant, Soil Environ 62:286–292.</w:t>
      </w:r>
    </w:p>
    <w:p w14:paraId="32FA4E56"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51. </w:t>
      </w:r>
      <w:r w:rsidRPr="003606FA">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479C1780"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52. </w:t>
      </w:r>
      <w:r w:rsidRPr="003606FA">
        <w:rPr>
          <w:rFonts w:ascii="Times New Roman" w:hAnsi="Times New Roman" w:cs="Times New Roman"/>
          <w:noProof/>
        </w:rPr>
        <w:tab/>
        <w:t>Ratcliff AW, Busse MD, Shestak CJ. 2006. Changes in microbial community structure following herbicide (glyphosate) additions to forest soils. Appl Soil Ecol 34:114–124.</w:t>
      </w:r>
    </w:p>
    <w:p w14:paraId="4A3E76AC"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53. </w:t>
      </w:r>
      <w:r w:rsidRPr="003606FA">
        <w:rPr>
          <w:rFonts w:ascii="Times New Roman" w:hAnsi="Times New Roman" w:cs="Times New Roman"/>
          <w:noProof/>
        </w:rPr>
        <w:tab/>
        <w:t xml:space="preserve">Zabaloy MC, Gómez MA. 2008. Microbial respiration in soils of the Argentine Pampas after metsulfuron methyl, 2,4-D, and glyphosate treatments. Commun Soil Sci Plant Anal </w:t>
      </w:r>
      <w:r w:rsidRPr="003606FA">
        <w:rPr>
          <w:rFonts w:ascii="Times New Roman" w:hAnsi="Times New Roman" w:cs="Times New Roman"/>
          <w:noProof/>
        </w:rPr>
        <w:lastRenderedPageBreak/>
        <w:t>39:370–385.</w:t>
      </w:r>
    </w:p>
    <w:p w14:paraId="595B70E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54. </w:t>
      </w:r>
      <w:r w:rsidRPr="003606FA">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24077EFA"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55. </w:t>
      </w:r>
      <w:r w:rsidRPr="003606FA">
        <w:rPr>
          <w:rFonts w:ascii="Times New Roman" w:hAnsi="Times New Roman" w:cs="Times New Roman"/>
          <w:noProof/>
        </w:rPr>
        <w:tab/>
        <w:t>Feld L, Nielsen TK, Hansen LH, Aamand J, Albers CN. 2016. Establishment of Bacterial Herbicide Degraders in a Rapid Sand Filter for Bioremediation of Phenoxypropionate-Polluted Groundwater. Appl Environ Microbiol 82:878–887.</w:t>
      </w:r>
    </w:p>
    <w:p w14:paraId="4E9EF89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56. </w:t>
      </w:r>
      <w:r w:rsidRPr="003606FA">
        <w:rPr>
          <w:rFonts w:ascii="Times New Roman" w:hAnsi="Times New Roman" w:cs="Times New Roman"/>
          <w:noProof/>
        </w:rPr>
        <w:tab/>
        <w:t>Dai M, Copley SD. 2004. Genome Shuffling Improves Degradation of the Anthropogenic Pesticide Pentachlorophenol by Sphingobium chlorophenolicum ATCC 39723. Appl Environ Microbiol 70:2391–2397.</w:t>
      </w:r>
    </w:p>
    <w:p w14:paraId="43B476E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57. </w:t>
      </w:r>
      <w:r w:rsidRPr="003606FA">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7D433E6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58. </w:t>
      </w:r>
      <w:r w:rsidRPr="003606FA">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17BE1398"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59. </w:t>
      </w:r>
      <w:r w:rsidRPr="003606FA">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720272C7"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60. </w:t>
      </w:r>
      <w:r w:rsidRPr="003606FA">
        <w:rPr>
          <w:rFonts w:ascii="Times New Roman" w:hAnsi="Times New Roman" w:cs="Times New Roman"/>
          <w:noProof/>
        </w:rPr>
        <w:tab/>
        <w:t>T. Sherene. 2017. Role of Soil Enzymes in Nutrient Transformation: A Review. Bio Bull 3 (1):109–131.</w:t>
      </w:r>
    </w:p>
    <w:p w14:paraId="62FA1DD9"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61. </w:t>
      </w:r>
      <w:r w:rsidRPr="003606FA">
        <w:rPr>
          <w:rFonts w:ascii="Times New Roman" w:hAnsi="Times New Roman" w:cs="Times New Roman"/>
          <w:noProof/>
        </w:rPr>
        <w:tab/>
        <w:t>Parmeter JR. 1970. Rhizoctonia Solani, Biology and Pathology. University of California Press.</w:t>
      </w:r>
    </w:p>
    <w:p w14:paraId="3057FADB"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lastRenderedPageBreak/>
        <w:t xml:space="preserve">62. </w:t>
      </w:r>
      <w:r w:rsidRPr="003606FA">
        <w:rPr>
          <w:rFonts w:ascii="Times New Roman" w:hAnsi="Times New Roman" w:cs="Times New Roman"/>
          <w:noProof/>
        </w:rPr>
        <w:tab/>
        <w:t>Larson RL, Hill AL, Fenwick A, Kniss AR, Hanson LE, Miller SD. 2006. Influence of glyphosate on Rhizoctonia and Fusarium root rot in sugar beet. Pest Manag Sci 62:1182–1192.</w:t>
      </w:r>
    </w:p>
    <w:p w14:paraId="3A3F620D"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63. </w:t>
      </w:r>
      <w:r w:rsidRPr="003606FA">
        <w:rPr>
          <w:rFonts w:ascii="Times New Roman" w:hAnsi="Times New Roman" w:cs="Times New Roman"/>
          <w:noProof/>
        </w:rPr>
        <w:tab/>
        <w:t>Barnett KA, Sprague CL, Kirk WW, Hanson LE. 2012. Influence of Glyphosate on Rhizoctonia Crown and Root Rot ( Rhizoctonia solani ) in Glyphosate-Resistant Sugarbeet. Weed Sci 60:113–120.</w:t>
      </w:r>
    </w:p>
    <w:p w14:paraId="2CA152EF"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64. </w:t>
      </w:r>
      <w:r w:rsidRPr="003606FA">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43F755DE" w14:textId="77777777" w:rsidR="003606FA" w:rsidRPr="003606FA" w:rsidRDefault="003606FA" w:rsidP="003606FA">
      <w:pPr>
        <w:widowControl w:val="0"/>
        <w:autoSpaceDE w:val="0"/>
        <w:autoSpaceDN w:val="0"/>
        <w:adjustRightInd w:val="0"/>
        <w:spacing w:line="480" w:lineRule="auto"/>
        <w:ind w:left="640" w:hanging="640"/>
        <w:rPr>
          <w:rFonts w:ascii="Times New Roman" w:hAnsi="Times New Roman" w:cs="Times New Roman"/>
          <w:noProof/>
        </w:rPr>
      </w:pPr>
      <w:r w:rsidRPr="003606FA">
        <w:rPr>
          <w:rFonts w:ascii="Times New Roman" w:hAnsi="Times New Roman" w:cs="Times New Roman"/>
          <w:noProof/>
        </w:rPr>
        <w:t xml:space="preserve">65. </w:t>
      </w:r>
      <w:r w:rsidRPr="003606FA">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02A60496" w:rsidR="002F4D3B" w:rsidRDefault="002F4D3B" w:rsidP="003606FA">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6" w:name="_Toc71026837"/>
      <w:r w:rsidRPr="0037707D">
        <w:t>Tables</w:t>
      </w:r>
      <w:bookmarkEnd w:id="16"/>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7" w:name="OLE_LINK3"/>
            <w:bookmarkStart w:id="18"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17"/>
            <w:bookmarkEnd w:id="18"/>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481FEDFE" w14:textId="5C6E0D42" w:rsidR="002D2557" w:rsidRPr="0037707D" w:rsidRDefault="002D2557" w:rsidP="00645F3B">
      <w:pPr>
        <w:widowControl w:val="0"/>
        <w:autoSpaceDE w:val="0"/>
        <w:autoSpaceDN w:val="0"/>
        <w:adjustRightInd w:val="0"/>
        <w:rPr>
          <w:rFonts w:ascii="Times New Roman" w:hAnsi="Times New Roman" w:cs="Times New Roman"/>
          <w:color w:val="000000" w:themeColor="text1"/>
        </w:rPr>
      </w:pPr>
      <w:r>
        <w:rPr>
          <w:rFonts w:ascii="Times New Roman" w:hAnsi="Times New Roman" w:cs="Times New Roman"/>
          <w:color w:val="000000" w:themeColor="text1"/>
        </w:rPr>
        <w:t xml:space="preserve">Figure 2. </w:t>
      </w:r>
      <w:r w:rsidR="003771DD">
        <w:rPr>
          <w:rFonts w:ascii="Times New Roman" w:hAnsi="Times New Roman" w:cs="Times New Roman"/>
          <w:color w:val="000000" w:themeColor="text1"/>
        </w:rPr>
        <w:t>16S o</w:t>
      </w:r>
      <w:r>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645F3B">
        <w:rPr>
          <w:rFonts w:ascii="Times New Roman" w:hAnsi="Times New Roman" w:cs="Times New Roman"/>
          <w:color w:val="000000" w:themeColor="text1"/>
        </w:rPr>
        <w:t xml:space="preserve"> of mean</w:t>
      </w:r>
      <w:r w:rsidR="00B57649">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t>
      </w:r>
      <w:r w:rsidR="00B57649">
        <w:rPr>
          <w:rFonts w:ascii="Times New Roman" w:hAnsi="Times New Roman" w:cs="Times New Roman"/>
          <w:color w:val="000000" w:themeColor="text1"/>
        </w:rPr>
        <w:lastRenderedPageBreak/>
        <w:t>within</w:t>
      </w:r>
      <w:r w:rsidR="00645F3B">
        <w:rPr>
          <w:rFonts w:ascii="Times New Roman" w:hAnsi="Times New Roman" w:cs="Times New Roman"/>
          <w:color w:val="000000" w:themeColor="text1"/>
        </w:rPr>
        <w:t xml:space="preserve"> </w:t>
      </w:r>
      <w:r w:rsidR="00B57649">
        <w:rPr>
          <w:rFonts w:ascii="Times New Roman" w:hAnsi="Times New Roman" w:cs="Times New Roman"/>
          <w:color w:val="000000" w:themeColor="text1"/>
        </w:rPr>
        <w:t>treatment</w:t>
      </w:r>
      <w:r w:rsidR="00645F3B">
        <w:rPr>
          <w:rFonts w:ascii="Times New Roman" w:hAnsi="Times New Roman" w:cs="Times New Roman"/>
          <w:color w:val="000000" w:themeColor="text1"/>
        </w:rPr>
        <w:t xml:space="preserve"> </w:t>
      </w:r>
      <w:r w:rsidR="00B57649">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sidR="00B57649">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sidR="00B57649">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all chemical treatments grouped, we observe a decrease in dissimilarity not</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observed in the</w:t>
      </w:r>
      <w:r w:rsidR="00645F3B">
        <w:rPr>
          <w:rFonts w:ascii="Times New Roman" w:hAnsi="Times New Roman" w:cs="Times New Roman"/>
          <w:color w:val="000000" w:themeColor="text1"/>
        </w:rPr>
        <w:t xml:space="preserve"> </w:t>
      </w:r>
      <w:r w:rsidR="001011C9">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r w:rsidR="00645F3B">
        <w:rPr>
          <w:rFonts w:ascii="Times New Roman" w:hAnsi="Times New Roman" w:cs="Times New Roman"/>
          <w:color w:val="000000" w:themeColor="text1"/>
        </w:rPr>
        <w:t>More details on box plot structure etc.</w:t>
      </w:r>
    </w:p>
    <w:p w14:paraId="46AF971E" w14:textId="0BB73726" w:rsidR="00B3074D" w:rsidRDefault="002D2557" w:rsidP="007144A5">
      <w:pPr>
        <w:pStyle w:val="headingdissertation"/>
      </w:pPr>
      <w:commentRangeStart w:id="19"/>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9"/>
      <w:r w:rsidR="00B57649">
        <w:rPr>
          <w:rStyle w:val="CommentReference"/>
          <w:rFonts w:eastAsia="Times New Roman"/>
          <w:b w:val="0"/>
          <w:bCs w:val="0"/>
          <w:color w:val="000000"/>
          <w:lang w:eastAsia="de-DE"/>
        </w:rPr>
        <w:commentReference w:id="19"/>
      </w:r>
    </w:p>
    <w:p w14:paraId="0ECB56B1" w14:textId="341B5B67" w:rsidR="003771DD" w:rsidRDefault="003771DD" w:rsidP="007144A5">
      <w:pPr>
        <w:pStyle w:val="headingdissertation"/>
      </w:pPr>
    </w:p>
    <w:p w14:paraId="188E430E" w14:textId="166331AA" w:rsidR="003771DD" w:rsidRDefault="003771DD" w:rsidP="007144A5">
      <w:pPr>
        <w:pStyle w:val="headingdissertation"/>
        <w:rPr>
          <w:b w:val="0"/>
          <w:bCs w:val="0"/>
        </w:rPr>
      </w:pPr>
      <w:r>
        <w:rPr>
          <w:b w:val="0"/>
          <w:bCs w:val="0"/>
        </w:rPr>
        <w:t xml:space="preserve">Figure 3. </w:t>
      </w:r>
      <w:r w:rsidR="00645F3B">
        <w:rPr>
          <w:b w:val="0"/>
          <w:bCs w:val="0"/>
        </w:rPr>
        <w:t>IT</w:t>
      </w:r>
      <w:r w:rsidR="00645F3B" w:rsidRPr="00645F3B">
        <w:rPr>
          <w:b w:val="0"/>
          <w:bCs w:val="0"/>
        </w:rPr>
        <w:t>S ordination of rarefied count tables with 95% SE ellipses of mean. Dissimilarity within treatment types (column 2). When all chemical treatments grouped</w:t>
      </w:r>
      <w:r w:rsidR="00645F3B">
        <w:rPr>
          <w:b w:val="0"/>
          <w:bCs w:val="0"/>
        </w:rPr>
        <w:t xml:space="preserve"> (column 3). </w:t>
      </w:r>
      <w:r w:rsidR="00645F3B" w:rsidRPr="00645F3B">
        <w:rPr>
          <w:b w:val="0"/>
          <w:bCs w:val="0"/>
        </w:rPr>
        <w:t>More details on box plot structure etc.</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6"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645F3B">
      <w:pPr>
        <w:pStyle w:val="CommentText"/>
      </w:pPr>
      <w:hyperlink r:id="rId2" w:history="1">
        <w:r w:rsidR="00CA3F7E" w:rsidRPr="00DA6C32">
          <w:rPr>
            <w:rStyle w:val="Hyperlink"/>
          </w:rPr>
          <w:t>https://pubmed.ncbi.nlm.nih.gov/33105985/</w:t>
        </w:r>
      </w:hyperlink>
      <w:r w:rsidR="00CA3F7E">
        <w:t xml:space="preserve"> </w:t>
      </w:r>
      <w:r w:rsidR="00CA3F7E">
        <w:br/>
      </w:r>
    </w:p>
  </w:comment>
  <w:comment w:id="11"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t>
        </w:r>
        <w:r w:rsidRPr="00DA6C32">
          <w:rPr>
            <w:rStyle w:val="Hyperlink"/>
          </w:rPr>
          <w:t>w</w:t>
        </w:r>
        <w:r w:rsidRPr="00DA6C32">
          <w:rPr>
            <w:rStyle w:val="Hyperlink"/>
          </w:rPr>
          <w:t>iMTAuMTAwMi</w:t>
        </w:r>
        <w:r w:rsidRPr="00DA6C32">
          <w:rPr>
            <w:rStyle w:val="Hyperlink"/>
          </w:rPr>
          <w:t>9</w:t>
        </w:r>
        <w:r w:rsidRPr="00DA6C32">
          <w:rPr>
            <w:rStyle w:val="Hyperlink"/>
          </w:rPr>
          <w:t>wcy4xMjk3Il0.G6QeaZq91f8GyTB765bKndR45Co</w:t>
        </w:r>
      </w:hyperlink>
      <w:r>
        <w:t xml:space="preserve">  </w:t>
      </w:r>
    </w:p>
  </w:comment>
  <w:comment w:id="15" w:author="Custer, Gordon" w:date="2022-01-24T16:08:00Z" w:initials="CG">
    <w:p w14:paraId="126A045E" w14:textId="6F8B5153"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r w:rsidR="003606FA">
        <w:t xml:space="preserve">Not sure how to do this other than using something like </w:t>
      </w:r>
      <w:proofErr w:type="spellStart"/>
      <w:r w:rsidR="003606FA">
        <w:t>picrust</w:t>
      </w:r>
      <w:proofErr w:type="spellEnd"/>
      <w:r w:rsidR="003606FA">
        <w:t>…</w:t>
      </w:r>
    </w:p>
  </w:comment>
  <w:comment w:id="19"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08F09585" w15:done="0"/>
  <w15:commentEx w15:paraId="62FE5907" w15:done="0"/>
  <w15:commentEx w15:paraId="51582A5C" w15:done="0"/>
  <w15:commentEx w15:paraId="6FE16474" w15:done="0"/>
  <w15:commentEx w15:paraId="126A045E"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2F4D3B"/>
    <w:rsid w:val="003606FA"/>
    <w:rsid w:val="003771DD"/>
    <w:rsid w:val="003D1C5E"/>
    <w:rsid w:val="00455E94"/>
    <w:rsid w:val="004878DA"/>
    <w:rsid w:val="004C596F"/>
    <w:rsid w:val="0053582D"/>
    <w:rsid w:val="005D2CC4"/>
    <w:rsid w:val="005E21DB"/>
    <w:rsid w:val="006133E2"/>
    <w:rsid w:val="006447A9"/>
    <w:rsid w:val="00645F3B"/>
    <w:rsid w:val="006C539A"/>
    <w:rsid w:val="006F4CAD"/>
    <w:rsid w:val="007144A5"/>
    <w:rsid w:val="00733695"/>
    <w:rsid w:val="0075436A"/>
    <w:rsid w:val="007C3D52"/>
    <w:rsid w:val="0089710C"/>
    <w:rsid w:val="00923C61"/>
    <w:rsid w:val="00957991"/>
    <w:rsid w:val="009A38F8"/>
    <w:rsid w:val="009B3670"/>
    <w:rsid w:val="009F391E"/>
    <w:rsid w:val="009F7052"/>
    <w:rsid w:val="00A71ACB"/>
    <w:rsid w:val="00AE3027"/>
    <w:rsid w:val="00B146B2"/>
    <w:rsid w:val="00B3074D"/>
    <w:rsid w:val="00B33E6B"/>
    <w:rsid w:val="00B42E0E"/>
    <w:rsid w:val="00B57649"/>
    <w:rsid w:val="00B92C04"/>
    <w:rsid w:val="00BB6B4B"/>
    <w:rsid w:val="00C94667"/>
    <w:rsid w:val="00CA3F7E"/>
    <w:rsid w:val="00CD39E7"/>
    <w:rsid w:val="00CF4814"/>
    <w:rsid w:val="00D46E4B"/>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34</Pages>
  <Words>40127</Words>
  <Characters>228729</Characters>
  <Application>Microsoft Office Word</Application>
  <DocSecurity>0</DocSecurity>
  <Lines>1906</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31</cp:revision>
  <dcterms:created xsi:type="dcterms:W3CDTF">2021-05-07T15:26:00Z</dcterms:created>
  <dcterms:modified xsi:type="dcterms:W3CDTF">2022-01-25T18:34:00Z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http://www.zotero.org/styles/rangeland-ecology-and-management</vt:lpwstr>
  </property>
  <property fmtid="{D5CDD505-2E9C-101B-9397-08002B2CF9AE}" pid="21" name="Mendeley Recent Style Name 9_1">
    <vt:lpwstr>Rangeland Ecology &amp; Management</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