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13389" w14:textId="79FEDB7B" w:rsidR="00F23B0C" w:rsidRPr="00E800A0" w:rsidRDefault="00E800A0" w:rsidP="00E800A0">
      <w:pPr>
        <w:jc w:val="both"/>
        <w:rPr>
          <w:rFonts w:ascii="Times New Roman" w:hAnsi="Times New Roman" w:cs="Times New Roman"/>
        </w:rPr>
      </w:pPr>
      <w:r w:rsidRPr="00E800A0">
        <w:rPr>
          <w:rFonts w:ascii="Times New Roman" w:hAnsi="Times New Roman" w:cs="Times New Roman"/>
        </w:rPr>
        <w:t>Title:</w:t>
      </w:r>
    </w:p>
    <w:p w14:paraId="4136E9A8" w14:textId="72AEA220" w:rsidR="00E800A0" w:rsidRPr="00E800A0" w:rsidRDefault="00E800A0" w:rsidP="00E800A0">
      <w:pPr>
        <w:jc w:val="both"/>
        <w:rPr>
          <w:rFonts w:ascii="Times New Roman" w:hAnsi="Times New Roman" w:cs="Times New Roman"/>
        </w:rPr>
      </w:pPr>
    </w:p>
    <w:p w14:paraId="13A4C750" w14:textId="743FBEFC" w:rsidR="00E800A0" w:rsidRPr="00E800A0" w:rsidRDefault="00E800A0" w:rsidP="00E800A0">
      <w:pPr>
        <w:jc w:val="both"/>
        <w:rPr>
          <w:rFonts w:ascii="Times New Roman" w:hAnsi="Times New Roman" w:cs="Times New Roman"/>
          <w:vertAlign w:val="superscript"/>
        </w:rPr>
      </w:pPr>
      <w:r w:rsidRPr="00E800A0">
        <w:rPr>
          <w:rFonts w:ascii="Times New Roman" w:hAnsi="Times New Roman" w:cs="Times New Roman"/>
        </w:rPr>
        <w:t>Authors: Gordon F. Custer</w:t>
      </w:r>
      <w:r w:rsidRPr="00E800A0">
        <w:rPr>
          <w:rFonts w:ascii="Times New Roman" w:hAnsi="Times New Roman" w:cs="Times New Roman"/>
          <w:vertAlign w:val="superscript"/>
        </w:rPr>
        <w:t>1,2*</w:t>
      </w:r>
      <w:r w:rsidRPr="00E800A0">
        <w:rPr>
          <w:rFonts w:ascii="Times New Roman" w:hAnsi="Times New Roman" w:cs="Times New Roman"/>
        </w:rPr>
        <w:t>, Joshua G. Harrison</w:t>
      </w:r>
      <w:r w:rsidRPr="00E800A0">
        <w:rPr>
          <w:rFonts w:ascii="Times New Roman" w:hAnsi="Times New Roman" w:cs="Times New Roman"/>
          <w:vertAlign w:val="superscript"/>
        </w:rPr>
        <w:t>3</w:t>
      </w:r>
      <w:r w:rsidRPr="00E800A0">
        <w:rPr>
          <w:rFonts w:ascii="Times New Roman" w:hAnsi="Times New Roman" w:cs="Times New Roman"/>
        </w:rPr>
        <w:t>, Andrew Kniss</w:t>
      </w:r>
      <w:r w:rsidRPr="00E800A0">
        <w:rPr>
          <w:rFonts w:ascii="Times New Roman" w:hAnsi="Times New Roman" w:cs="Times New Roman"/>
          <w:vertAlign w:val="superscript"/>
        </w:rPr>
        <w:t>4</w:t>
      </w:r>
      <w:r w:rsidRPr="00E800A0">
        <w:rPr>
          <w:rFonts w:ascii="Times New Roman" w:hAnsi="Times New Roman" w:cs="Times New Roman"/>
        </w:rPr>
        <w:t>, and Linda TA van Diepen</w:t>
      </w:r>
      <w:r w:rsidRPr="00E800A0">
        <w:rPr>
          <w:rFonts w:ascii="Times New Roman" w:hAnsi="Times New Roman" w:cs="Times New Roman"/>
          <w:vertAlign w:val="superscript"/>
        </w:rPr>
        <w:t>1,2</w:t>
      </w:r>
    </w:p>
    <w:p w14:paraId="4C04C3EB" w14:textId="6DDCD972" w:rsidR="00E800A0" w:rsidRPr="00E800A0" w:rsidRDefault="00E800A0" w:rsidP="00E800A0">
      <w:pPr>
        <w:jc w:val="both"/>
        <w:rPr>
          <w:rFonts w:ascii="Times New Roman" w:hAnsi="Times New Roman" w:cs="Times New Roman"/>
        </w:rPr>
      </w:pPr>
    </w:p>
    <w:p w14:paraId="4C8EEAC4" w14:textId="7334A755" w:rsidR="00E800A0" w:rsidRPr="00E800A0" w:rsidRDefault="00E800A0" w:rsidP="00E800A0">
      <w:pPr>
        <w:jc w:val="both"/>
        <w:rPr>
          <w:rFonts w:ascii="Times New Roman" w:hAnsi="Times New Roman" w:cs="Times New Roman"/>
        </w:rPr>
      </w:pPr>
      <w:r w:rsidRPr="00E800A0">
        <w:rPr>
          <w:rFonts w:ascii="Times New Roman" w:hAnsi="Times New Roman" w:cs="Times New Roman"/>
        </w:rPr>
        <w:t xml:space="preserve">Affiliations: </w:t>
      </w:r>
      <w:r w:rsidRPr="00E800A0">
        <w:rPr>
          <w:rFonts w:ascii="Times New Roman" w:hAnsi="Times New Roman" w:cs="Times New Roman"/>
          <w:vertAlign w:val="superscript"/>
        </w:rPr>
        <w:t>1</w:t>
      </w:r>
      <w:r w:rsidRPr="00E800A0">
        <w:rPr>
          <w:rFonts w:ascii="Times New Roman" w:hAnsi="Times New Roman" w:cs="Times New Roman"/>
        </w:rPr>
        <w:t xml:space="preserve">Department of Ecosystem Science and Management, University of Wyoming; </w:t>
      </w:r>
      <w:r w:rsidRPr="00E800A0">
        <w:rPr>
          <w:rFonts w:ascii="Times New Roman" w:hAnsi="Times New Roman" w:cs="Times New Roman"/>
          <w:vertAlign w:val="superscript"/>
        </w:rPr>
        <w:t>2</w:t>
      </w:r>
      <w:r w:rsidRPr="00E800A0">
        <w:rPr>
          <w:rFonts w:ascii="Times New Roman" w:hAnsi="Times New Roman" w:cs="Times New Roman"/>
        </w:rPr>
        <w:t xml:space="preserve">Program in Ecology, University of Wyoming; </w:t>
      </w:r>
      <w:r w:rsidRPr="00E800A0">
        <w:rPr>
          <w:rFonts w:ascii="Times New Roman" w:hAnsi="Times New Roman" w:cs="Times New Roman"/>
          <w:vertAlign w:val="superscript"/>
        </w:rPr>
        <w:t>3</w:t>
      </w:r>
      <w:r w:rsidRPr="00E800A0">
        <w:rPr>
          <w:rFonts w:ascii="Times New Roman" w:hAnsi="Times New Roman" w:cs="Times New Roman"/>
        </w:rPr>
        <w:t xml:space="preserve">Department of Botany, University of Wyoming; </w:t>
      </w:r>
      <w:r w:rsidRPr="00E800A0">
        <w:rPr>
          <w:rFonts w:ascii="Times New Roman" w:hAnsi="Times New Roman" w:cs="Times New Roman"/>
          <w:vertAlign w:val="superscript"/>
        </w:rPr>
        <w:t>4</w:t>
      </w:r>
      <w:r w:rsidRPr="00E800A0">
        <w:rPr>
          <w:rFonts w:ascii="Times New Roman" w:hAnsi="Times New Roman" w:cs="Times New Roman"/>
        </w:rPr>
        <w:t>Department of Plant Sciences, University of Wyoming</w:t>
      </w:r>
    </w:p>
    <w:p w14:paraId="460459EB" w14:textId="2FFA77E5" w:rsidR="00E800A0" w:rsidRPr="00E800A0" w:rsidRDefault="00E800A0" w:rsidP="00E800A0">
      <w:pPr>
        <w:jc w:val="both"/>
        <w:rPr>
          <w:rFonts w:ascii="Times New Roman" w:hAnsi="Times New Roman" w:cs="Times New Roman"/>
        </w:rPr>
      </w:pPr>
    </w:p>
    <w:p w14:paraId="36D658C5" w14:textId="23B3280A" w:rsidR="00E800A0" w:rsidRPr="00E800A0" w:rsidRDefault="00E800A0" w:rsidP="00E800A0">
      <w:pPr>
        <w:jc w:val="both"/>
        <w:rPr>
          <w:rFonts w:ascii="Times New Roman" w:hAnsi="Times New Roman" w:cs="Times New Roman"/>
        </w:rPr>
      </w:pPr>
      <w:r w:rsidRPr="00E800A0">
        <w:rPr>
          <w:rFonts w:ascii="Times New Roman" w:hAnsi="Times New Roman" w:cs="Times New Roman"/>
        </w:rPr>
        <w:t>*</w:t>
      </w:r>
      <w:proofErr w:type="gramStart"/>
      <w:r w:rsidRPr="00E800A0">
        <w:rPr>
          <w:rFonts w:ascii="Times New Roman" w:hAnsi="Times New Roman" w:cs="Times New Roman"/>
        </w:rPr>
        <w:t>denotes</w:t>
      </w:r>
      <w:proofErr w:type="gramEnd"/>
      <w:r w:rsidRPr="00E800A0">
        <w:rPr>
          <w:rFonts w:ascii="Times New Roman" w:hAnsi="Times New Roman" w:cs="Times New Roman"/>
        </w:rPr>
        <w:t xml:space="preserve"> corresponding author</w:t>
      </w:r>
    </w:p>
    <w:p w14:paraId="4F3E7A3F" w14:textId="2AE4AC16" w:rsidR="00E800A0" w:rsidRPr="00E800A0" w:rsidRDefault="00E800A0" w:rsidP="00E800A0">
      <w:pPr>
        <w:jc w:val="both"/>
        <w:rPr>
          <w:rFonts w:ascii="Times New Roman" w:hAnsi="Times New Roman" w:cs="Times New Roman"/>
        </w:rPr>
      </w:pPr>
    </w:p>
    <w:p w14:paraId="1B8685F2" w14:textId="38668DED" w:rsidR="00E800A0" w:rsidRPr="00E800A0" w:rsidRDefault="00E800A0" w:rsidP="00E800A0">
      <w:pPr>
        <w:jc w:val="both"/>
        <w:rPr>
          <w:rFonts w:ascii="Times New Roman" w:hAnsi="Times New Roman" w:cs="Times New Roman"/>
        </w:rPr>
      </w:pPr>
      <w:r w:rsidRPr="00E800A0">
        <w:rPr>
          <w:rFonts w:ascii="Times New Roman" w:hAnsi="Times New Roman" w:cs="Times New Roman"/>
        </w:rPr>
        <w:t xml:space="preserve">Author Contact: </w:t>
      </w:r>
      <w:proofErr w:type="spellStart"/>
      <w:r w:rsidRPr="00E800A0">
        <w:rPr>
          <w:rFonts w:ascii="Times New Roman" w:hAnsi="Times New Roman" w:cs="Times New Roman"/>
        </w:rPr>
        <w:t>gc</w:t>
      </w:r>
      <w:proofErr w:type="spellEnd"/>
      <w:r w:rsidRPr="00E800A0">
        <w:rPr>
          <w:rFonts w:ascii="Times New Roman" w:hAnsi="Times New Roman" w:cs="Times New Roman"/>
        </w:rPr>
        <w:t xml:space="preserve"> – Gordon.custer91@gmail.com</w:t>
      </w:r>
    </w:p>
    <w:p w14:paraId="6ACBDA10" w14:textId="77777777" w:rsidR="00E800A0" w:rsidRPr="00E800A0" w:rsidRDefault="00E800A0" w:rsidP="00E800A0">
      <w:pPr>
        <w:jc w:val="both"/>
        <w:rPr>
          <w:rFonts w:ascii="Times New Roman" w:hAnsi="Times New Roman" w:cs="Times New Roman"/>
        </w:rPr>
      </w:pPr>
    </w:p>
    <w:p w14:paraId="21AAA2BC" w14:textId="1B746CCB" w:rsidR="00E800A0" w:rsidRPr="00E800A0" w:rsidRDefault="00E800A0" w:rsidP="00E800A0">
      <w:pPr>
        <w:jc w:val="both"/>
        <w:rPr>
          <w:rFonts w:ascii="Times New Roman" w:hAnsi="Times New Roman" w:cs="Times New Roman"/>
        </w:rPr>
      </w:pPr>
      <w:r w:rsidRPr="00E800A0">
        <w:rPr>
          <w:rFonts w:ascii="Times New Roman" w:hAnsi="Times New Roman" w:cs="Times New Roman"/>
        </w:rPr>
        <w:t xml:space="preserve">Keywords: </w:t>
      </w:r>
    </w:p>
    <w:p w14:paraId="5C7E7645" w14:textId="7A8C1CB0" w:rsidR="00E800A0" w:rsidRPr="00E800A0" w:rsidRDefault="00E800A0" w:rsidP="00E800A0">
      <w:pPr>
        <w:jc w:val="both"/>
        <w:rPr>
          <w:rFonts w:ascii="Times New Roman" w:hAnsi="Times New Roman" w:cs="Times New Roman"/>
        </w:rPr>
      </w:pPr>
    </w:p>
    <w:p w14:paraId="3286B960" w14:textId="77777777" w:rsidR="00E800A0" w:rsidRDefault="00E800A0" w:rsidP="00E800A0">
      <w:pPr>
        <w:jc w:val="both"/>
        <w:rPr>
          <w:rFonts w:ascii="Times New Roman" w:hAnsi="Times New Roman" w:cs="Times New Roman"/>
        </w:rPr>
      </w:pPr>
    </w:p>
    <w:p w14:paraId="6C359428" w14:textId="60AF41D6" w:rsidR="00E800A0" w:rsidRPr="00E800A0" w:rsidRDefault="00E800A0" w:rsidP="00E800A0">
      <w:pPr>
        <w:jc w:val="both"/>
        <w:rPr>
          <w:rFonts w:ascii="Times New Roman" w:hAnsi="Times New Roman" w:cs="Times New Roman"/>
        </w:rPr>
      </w:pPr>
      <w:r>
        <w:rPr>
          <w:rFonts w:ascii="Times New Roman" w:hAnsi="Times New Roman" w:cs="Times New Roman"/>
        </w:rPr>
        <w:t>Target: Scientific Reports or Applied and Environmental Microbiology</w:t>
      </w:r>
      <w:r w:rsidRPr="00E800A0">
        <w:rPr>
          <w:rFonts w:ascii="Times New Roman" w:hAnsi="Times New Roman" w:cs="Times New Roman"/>
        </w:rPr>
        <w:br w:type="page"/>
      </w:r>
    </w:p>
    <w:p w14:paraId="2EA62B42" w14:textId="56423AC7" w:rsidR="00E800A0" w:rsidRPr="00E800A0" w:rsidRDefault="00E800A0" w:rsidP="00E800A0">
      <w:pPr>
        <w:jc w:val="both"/>
        <w:rPr>
          <w:rFonts w:ascii="Times New Roman" w:hAnsi="Times New Roman" w:cs="Times New Roman"/>
        </w:rPr>
      </w:pPr>
      <w:r w:rsidRPr="00E800A0">
        <w:rPr>
          <w:rFonts w:ascii="Times New Roman" w:hAnsi="Times New Roman" w:cs="Times New Roman"/>
          <w:b/>
          <w:bCs/>
        </w:rPr>
        <w:lastRenderedPageBreak/>
        <w:t>Abstract</w:t>
      </w:r>
      <w:r>
        <w:rPr>
          <w:rFonts w:ascii="Times New Roman" w:hAnsi="Times New Roman" w:cs="Times New Roman"/>
          <w:b/>
          <w:bCs/>
        </w:rPr>
        <w:t xml:space="preserve"> – 200-word guideline</w:t>
      </w:r>
    </w:p>
    <w:p w14:paraId="69AAB069" w14:textId="67E35105" w:rsidR="00E800A0" w:rsidRPr="00E800A0" w:rsidRDefault="00E800A0" w:rsidP="00E800A0">
      <w:pPr>
        <w:jc w:val="both"/>
        <w:rPr>
          <w:rFonts w:ascii="Times New Roman" w:hAnsi="Times New Roman" w:cs="Times New Roman"/>
          <w:color w:val="000000" w:themeColor="text1"/>
        </w:rPr>
      </w:pPr>
      <w:r w:rsidRPr="00E800A0">
        <w:rPr>
          <w:rFonts w:ascii="Times New Roman" w:hAnsi="Times New Roman" w:cs="Times New Roman"/>
          <w:color w:val="000000" w:themeColor="text1"/>
        </w:rPr>
        <w:t xml:space="preserve">Patterns of pesticide use have changed dramatically over the past 25 years, specifically since the </w:t>
      </w:r>
      <w:r w:rsidRPr="00E800A0">
        <w:rPr>
          <w:rFonts w:ascii="Times New Roman" w:hAnsi="Times New Roman" w:cs="Times New Roman"/>
          <w:color w:val="000000" w:themeColor="text1"/>
        </w:rPr>
        <w:t>adoption</w:t>
      </w:r>
      <w:r w:rsidRPr="00E800A0">
        <w:rPr>
          <w:rFonts w:ascii="Times New Roman" w:hAnsi="Times New Roman" w:cs="Times New Roman"/>
          <w:color w:val="000000" w:themeColor="text1"/>
        </w:rPr>
        <w:t xml:space="preserve"> of glyphosate resistant crops. While consideration is often given to the effects of herbicide on aboveground diversity, our understanding </w:t>
      </w:r>
      <w:r w:rsidRPr="00E800A0">
        <w:rPr>
          <w:rFonts w:ascii="Times New Roman" w:hAnsi="Times New Roman" w:cs="Times New Roman"/>
          <w:color w:val="000000" w:themeColor="text1"/>
        </w:rPr>
        <w:t xml:space="preserve">of its influence </w:t>
      </w:r>
      <w:r w:rsidRPr="00E800A0">
        <w:rPr>
          <w:rFonts w:ascii="Times New Roman" w:hAnsi="Times New Roman" w:cs="Times New Roman"/>
          <w:color w:val="000000" w:themeColor="text1"/>
        </w:rPr>
        <w:t xml:space="preserve">belowground lags. With microbes being largely responsible for nutrient cycling and other pivotal ecosystem processes, understanding the direction and magnitude of their responses to vegetation removal in </w:t>
      </w:r>
      <w:proofErr w:type="spellStart"/>
      <w:r w:rsidRPr="00E800A0">
        <w:rPr>
          <w:rFonts w:ascii="Times New Roman" w:hAnsi="Times New Roman" w:cs="Times New Roman"/>
          <w:color w:val="000000" w:themeColor="text1"/>
        </w:rPr>
        <w:t>agro</w:t>
      </w:r>
      <w:proofErr w:type="spellEnd"/>
      <w:r w:rsidRPr="00E800A0">
        <w:rPr>
          <w:rFonts w:ascii="Times New Roman" w:hAnsi="Times New Roman" w:cs="Times New Roman"/>
          <w:color w:val="000000" w:themeColor="text1"/>
        </w:rPr>
        <w:t>-ecosystems is of the utmost concern.</w:t>
      </w:r>
      <w:r w:rsidRPr="00E800A0">
        <w:rPr>
          <w:rFonts w:ascii="Times New Roman" w:hAnsi="Times New Roman" w:cs="Times New Roman"/>
          <w:color w:val="000000" w:themeColor="text1"/>
        </w:rPr>
        <w:t xml:space="preserve"> </w:t>
      </w:r>
      <w:r w:rsidRPr="00E800A0">
        <w:rPr>
          <w:rFonts w:ascii="Times New Roman" w:hAnsi="Times New Roman" w:cs="Times New Roman"/>
          <w:color w:val="000000" w:themeColor="text1"/>
        </w:rPr>
        <w:t xml:space="preserve">Previous research has revealed mixed responses </w:t>
      </w:r>
      <w:r w:rsidRPr="00E800A0">
        <w:rPr>
          <w:rFonts w:ascii="Times New Roman" w:hAnsi="Times New Roman" w:cs="Times New Roman"/>
          <w:color w:val="000000" w:themeColor="text1"/>
        </w:rPr>
        <w:t xml:space="preserve">in </w:t>
      </w:r>
      <w:r w:rsidRPr="00E800A0">
        <w:rPr>
          <w:rFonts w:ascii="Times New Roman" w:hAnsi="Times New Roman" w:cs="Times New Roman"/>
          <w:color w:val="000000" w:themeColor="text1"/>
        </w:rPr>
        <w:t>microbial diversity and function following herbicide application</w:t>
      </w:r>
      <w:r w:rsidRPr="00E800A0">
        <w:rPr>
          <w:rFonts w:ascii="Times New Roman" w:hAnsi="Times New Roman" w:cs="Times New Roman"/>
          <w:color w:val="000000" w:themeColor="text1"/>
        </w:rPr>
        <w:t xml:space="preserve">, </w:t>
      </w:r>
      <w:r w:rsidRPr="00E800A0">
        <w:rPr>
          <w:rFonts w:ascii="Times New Roman" w:hAnsi="Times New Roman" w:cs="Times New Roman"/>
          <w:color w:val="000000" w:themeColor="text1"/>
        </w:rPr>
        <w:t>spurr</w:t>
      </w:r>
      <w:r w:rsidRPr="00E800A0">
        <w:rPr>
          <w:rFonts w:ascii="Times New Roman" w:hAnsi="Times New Roman" w:cs="Times New Roman"/>
          <w:color w:val="000000" w:themeColor="text1"/>
        </w:rPr>
        <w:t>ing</w:t>
      </w:r>
      <w:r w:rsidRPr="00E800A0">
        <w:rPr>
          <w:rFonts w:ascii="Times New Roman" w:hAnsi="Times New Roman" w:cs="Times New Roman"/>
          <w:color w:val="000000" w:themeColor="text1"/>
        </w:rPr>
        <w:t xml:space="preserve"> calls for further research to clarify direct and indirect effects. In this study, we </w:t>
      </w:r>
      <w:r w:rsidRPr="00E800A0">
        <w:rPr>
          <w:rFonts w:ascii="Times New Roman" w:hAnsi="Times New Roman" w:cs="Times New Roman"/>
          <w:color w:val="000000" w:themeColor="text1"/>
        </w:rPr>
        <w:t xml:space="preserve">examine non-target effects of herbicide application by </w:t>
      </w:r>
      <w:r w:rsidRPr="00E800A0">
        <w:rPr>
          <w:rFonts w:ascii="Times New Roman" w:hAnsi="Times New Roman" w:cs="Times New Roman"/>
          <w:color w:val="000000" w:themeColor="text1"/>
        </w:rPr>
        <w:t>compar</w:t>
      </w:r>
      <w:r w:rsidRPr="00E800A0">
        <w:rPr>
          <w:rFonts w:ascii="Times New Roman" w:hAnsi="Times New Roman" w:cs="Times New Roman"/>
          <w:color w:val="000000" w:themeColor="text1"/>
        </w:rPr>
        <w:t>ing</w:t>
      </w:r>
      <w:r w:rsidRPr="00E800A0">
        <w:rPr>
          <w:rFonts w:ascii="Times New Roman" w:hAnsi="Times New Roman" w:cs="Times New Roman"/>
          <w:color w:val="000000" w:themeColor="text1"/>
        </w:rPr>
        <w:t xml:space="preserve"> three </w:t>
      </w:r>
      <w:r w:rsidRPr="00E800A0">
        <w:rPr>
          <w:rFonts w:ascii="Times New Roman" w:hAnsi="Times New Roman" w:cs="Times New Roman"/>
          <w:color w:val="000000" w:themeColor="text1"/>
        </w:rPr>
        <w:t xml:space="preserve">commonly used </w:t>
      </w:r>
      <w:r w:rsidRPr="00E800A0">
        <w:rPr>
          <w:rFonts w:ascii="Times New Roman" w:hAnsi="Times New Roman" w:cs="Times New Roman"/>
          <w:color w:val="000000" w:themeColor="text1"/>
        </w:rPr>
        <w:t>chemical herbicides</w:t>
      </w:r>
      <w:r w:rsidRPr="00E800A0">
        <w:rPr>
          <w:rFonts w:ascii="Times New Roman" w:hAnsi="Times New Roman" w:cs="Times New Roman"/>
          <w:color w:val="000000" w:themeColor="text1"/>
        </w:rPr>
        <w:t xml:space="preserve"> -</w:t>
      </w:r>
      <w:r w:rsidRPr="00E800A0">
        <w:rPr>
          <w:rFonts w:ascii="Times New Roman" w:hAnsi="Times New Roman" w:cs="Times New Roman"/>
          <w:color w:val="000000" w:themeColor="text1"/>
        </w:rPr>
        <w:t xml:space="preserve">glyphosate, dicamba, and a tank mix of atrazine and </w:t>
      </w:r>
      <w:proofErr w:type="spellStart"/>
      <w:r w:rsidRPr="00E800A0">
        <w:rPr>
          <w:rFonts w:ascii="Times New Roman" w:hAnsi="Times New Roman" w:cs="Times New Roman"/>
          <w:color w:val="000000" w:themeColor="text1"/>
        </w:rPr>
        <w:t>mesotrione</w:t>
      </w:r>
      <w:proofErr w:type="spellEnd"/>
      <w:r w:rsidRPr="00E800A0">
        <w:rPr>
          <w:rFonts w:ascii="Times New Roman" w:hAnsi="Times New Roman" w:cs="Times New Roman"/>
          <w:color w:val="000000" w:themeColor="text1"/>
        </w:rPr>
        <w:t>-</w:t>
      </w:r>
      <w:r w:rsidRPr="00E800A0">
        <w:rPr>
          <w:rFonts w:ascii="Times New Roman" w:hAnsi="Times New Roman" w:cs="Times New Roman"/>
          <w:color w:val="000000" w:themeColor="text1"/>
        </w:rPr>
        <w:t xml:space="preserve"> to handweeded and nontreated control</w:t>
      </w:r>
      <w:r w:rsidRPr="00E800A0">
        <w:rPr>
          <w:rFonts w:ascii="Times New Roman" w:hAnsi="Times New Roman" w:cs="Times New Roman"/>
          <w:color w:val="000000" w:themeColor="text1"/>
        </w:rPr>
        <w:t xml:space="preserve">s. We examine shifts in soil microbial function, soil nutrient pools, and microbial community composition in </w:t>
      </w:r>
      <w:proofErr w:type="spellStart"/>
      <w:r w:rsidRPr="00E800A0">
        <w:rPr>
          <w:rFonts w:ascii="Times New Roman" w:hAnsi="Times New Roman" w:cs="Times New Roman"/>
          <w:i/>
          <w:iCs/>
          <w:color w:val="000000" w:themeColor="text1"/>
        </w:rPr>
        <w:t>Zea</w:t>
      </w:r>
      <w:proofErr w:type="spellEnd"/>
      <w:r w:rsidRPr="00E800A0">
        <w:rPr>
          <w:rFonts w:ascii="Times New Roman" w:hAnsi="Times New Roman" w:cs="Times New Roman"/>
          <w:i/>
          <w:iCs/>
          <w:color w:val="000000" w:themeColor="text1"/>
        </w:rPr>
        <w:t xml:space="preserve"> mays </w:t>
      </w:r>
      <w:r w:rsidRPr="00E800A0">
        <w:rPr>
          <w:rFonts w:ascii="Times New Roman" w:hAnsi="Times New Roman" w:cs="Times New Roman"/>
          <w:color w:val="000000" w:themeColor="text1"/>
        </w:rPr>
        <w:t>fields over twenty-days post-treatment. We show</w:t>
      </w:r>
      <w:r w:rsidRPr="00E800A0">
        <w:rPr>
          <w:rFonts w:ascii="Times New Roman" w:hAnsi="Times New Roman" w:cs="Times New Roman"/>
          <w:color w:val="000000" w:themeColor="text1"/>
        </w:rPr>
        <w:t xml:space="preserve"> the examined herbicides</w:t>
      </w:r>
      <w:r w:rsidRPr="00E800A0">
        <w:rPr>
          <w:rFonts w:ascii="Times New Roman" w:hAnsi="Times New Roman" w:cs="Times New Roman"/>
          <w:color w:val="000000" w:themeColor="text1"/>
        </w:rPr>
        <w:t xml:space="preserve"> to</w:t>
      </w:r>
      <w:r w:rsidRPr="00E800A0">
        <w:rPr>
          <w:rFonts w:ascii="Times New Roman" w:hAnsi="Times New Roman" w:cs="Times New Roman"/>
          <w:color w:val="000000" w:themeColor="text1"/>
        </w:rPr>
        <w:t xml:space="preserve"> have limited and short-lasting effects on soil edaphic properties and microbial functio</w:t>
      </w:r>
      <w:r w:rsidRPr="00E800A0">
        <w:rPr>
          <w:rFonts w:ascii="Times New Roman" w:hAnsi="Times New Roman" w:cs="Times New Roman"/>
          <w:color w:val="000000" w:themeColor="text1"/>
        </w:rPr>
        <w:t xml:space="preserve">n. Shifts in </w:t>
      </w:r>
      <w:r w:rsidRPr="00E800A0">
        <w:rPr>
          <w:rFonts w:ascii="Times New Roman" w:hAnsi="Times New Roman" w:cs="Times New Roman"/>
          <w:color w:val="000000" w:themeColor="text1"/>
        </w:rPr>
        <w:t>enzymatic activities, nutrient concentrations, and fungal community structure</w:t>
      </w:r>
      <w:r w:rsidRPr="00E800A0">
        <w:rPr>
          <w:rFonts w:ascii="Times New Roman" w:hAnsi="Times New Roman" w:cs="Times New Roman"/>
          <w:color w:val="000000" w:themeColor="text1"/>
        </w:rPr>
        <w:t xml:space="preserve"> were predicted by weedy vegetation cover, but not weed removal treatment, suggesting that these responses may instead be indirectly mediated by herbicide application. However, we show that weed removal treatment was as significant predictor of bacterial community composition. Additionally, we report homogenization of bacterial community composition following chemical herbicide application, a trend not observed in the non-treated and handweeded controls. Our results suggest that chemical herbicide application may have limited effects on microbial diversity and ecosystem functions. </w:t>
      </w:r>
    </w:p>
    <w:p w14:paraId="395CB4C3" w14:textId="16A828FA" w:rsidR="00E800A0" w:rsidRPr="00E800A0" w:rsidRDefault="00E800A0" w:rsidP="00E800A0">
      <w:pPr>
        <w:jc w:val="both"/>
        <w:rPr>
          <w:rFonts w:ascii="Times New Roman" w:hAnsi="Times New Roman" w:cs="Times New Roman"/>
        </w:rPr>
      </w:pPr>
      <w:r w:rsidRPr="00E800A0">
        <w:rPr>
          <w:rFonts w:ascii="Times New Roman" w:hAnsi="Times New Roman" w:cs="Times New Roman"/>
        </w:rPr>
        <w:br w:type="page"/>
      </w:r>
    </w:p>
    <w:p w14:paraId="5E14FF1D" w14:textId="657938D7" w:rsidR="00E800A0" w:rsidRDefault="00E800A0" w:rsidP="00E800A0">
      <w:pPr>
        <w:shd w:val="clear" w:color="auto" w:fill="FFFFFF"/>
        <w:spacing w:before="100" w:beforeAutospacing="1" w:after="100" w:afterAutospacing="1"/>
        <w:jc w:val="both"/>
        <w:rPr>
          <w:rFonts w:ascii="Times New Roman" w:eastAsia="Times New Roman" w:hAnsi="Times New Roman" w:cs="Times New Roman"/>
          <w:b/>
          <w:bCs/>
          <w:color w:val="222222"/>
        </w:rPr>
      </w:pPr>
      <w:r>
        <w:rPr>
          <w:rFonts w:ascii="Times New Roman" w:eastAsia="Times New Roman" w:hAnsi="Times New Roman" w:cs="Times New Roman"/>
          <w:b/>
          <w:bCs/>
          <w:color w:val="222222"/>
        </w:rPr>
        <w:lastRenderedPageBreak/>
        <w:t>Main Text – 4500-word guideline not including methods</w:t>
      </w:r>
    </w:p>
    <w:p w14:paraId="512F3656" w14:textId="5E28CB88" w:rsidR="00E800A0" w:rsidRDefault="00E800A0" w:rsidP="00E800A0">
      <w:pPr>
        <w:shd w:val="clear" w:color="auto" w:fill="FFFFFF"/>
        <w:spacing w:before="100" w:beforeAutospacing="1" w:after="100" w:afterAutospacing="1"/>
        <w:jc w:val="both"/>
        <w:rPr>
          <w:rFonts w:ascii="Times New Roman" w:eastAsia="Times New Roman" w:hAnsi="Times New Roman" w:cs="Times New Roman"/>
          <w:b/>
          <w:bCs/>
          <w:color w:val="222222"/>
        </w:rPr>
      </w:pPr>
      <w:r w:rsidRPr="00E800A0">
        <w:rPr>
          <w:rFonts w:ascii="Times New Roman" w:eastAsia="Times New Roman" w:hAnsi="Times New Roman" w:cs="Times New Roman"/>
          <w:b/>
          <w:bCs/>
          <w:color w:val="222222"/>
        </w:rPr>
        <w:t>Introduction</w:t>
      </w:r>
    </w:p>
    <w:p w14:paraId="17959A04" w14:textId="240EAFBE" w:rsidR="00E800A0" w:rsidRDefault="00E800A0" w:rsidP="00E800A0">
      <w:pPr>
        <w:shd w:val="clear" w:color="auto" w:fill="FFFFFF"/>
        <w:spacing w:before="100" w:beforeAutospacing="1" w:after="100" w:afterAutospacing="1"/>
        <w:jc w:val="both"/>
        <w:rPr>
          <w:rFonts w:ascii="Times New Roman" w:hAnsi="Times New Roman" w:cs="Times New Roman"/>
          <w:color w:val="000000" w:themeColor="text1"/>
          <w:shd w:val="clear" w:color="auto" w:fill="FFFFFF"/>
        </w:rPr>
      </w:pPr>
      <w:r>
        <w:rPr>
          <w:rFonts w:ascii="Times New Roman" w:eastAsia="Times New Roman" w:hAnsi="Times New Roman" w:cs="Times New Roman"/>
          <w:color w:val="222222"/>
        </w:rPr>
        <w:t>Genetically modified herbicide-resistant crops were introduced to the United States in 1996, prompting a shift in herbicide use patterns. Primarily driven by the application of glyphosate (N-(</w:t>
      </w:r>
      <w:proofErr w:type="spellStart"/>
      <w:r>
        <w:rPr>
          <w:rFonts w:ascii="Times New Roman" w:eastAsia="Times New Roman" w:hAnsi="Times New Roman" w:cs="Times New Roman"/>
          <w:color w:val="222222"/>
        </w:rPr>
        <w:t>phosphonomythel</w:t>
      </w:r>
      <w:proofErr w:type="spellEnd"/>
      <w:r>
        <w:rPr>
          <w:rFonts w:ascii="Times New Roman" w:eastAsia="Times New Roman" w:hAnsi="Times New Roman" w:cs="Times New Roman"/>
          <w:color w:val="222222"/>
        </w:rPr>
        <w:t xml:space="preserve">)glycine), herbicide application in the US increased by nearly 240 million kg from 1996 to 2011 </w:t>
      </w:r>
      <w:r w:rsidRPr="00B3074D">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{"citationItems":[{"id":"ITEM-1","itemData":{"DOI":"10.1186/2190-4715-24-24","ISBN":"2190471524","ISSN":"21904707","PMID":"2718","abstract":"Genetically engineered, herbicide-resistant and insect-resistant crops have been remarkable commercial successes in the United States. Few independent studies have calculated their impacts on pesticide use per hectare or overall pesticide use, or taken into account the impact of rapidly spreading glyphosate-resistant weeds. A model was developed to quantify by crop and year the impacts of six major transgenic pest-management traits on pesticide use in the U.S. over the 16-year period, 1996–2011: herbicide-resistant corn, soybeans, and cotton; Bacillus thuringiensis (Bt) corn targeting the European corn borer; Bt corn for corn rootworms; and Bt cotton for Lepidopteron insects.","author":[{"dropping-particle":"","family":"Benbrook","given":"Charles M.","non-dropping-particle":"","parse-names":false,"suffix":""}],"container-title":"Environmental Sciences Europe","id":"ITEM-1","issue":"9","issued":{"date-parts":[["2012"]]},"page":"1-13","title":"Impacts of genetically engineered crops on pesticide use in the U.S.-the first sixteen years","type":"article-journal","volume":"24"},"uris":["http://www.mendeley.com/documents/?uuid=5563e962-4504-43c6-9838-85778cd67b1f"]}],"mendeley":{"formattedCitation":"(1)","plainTextFormattedCitation":"(1)","previouslyFormattedCitation":"(1)"},"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E800A0">
        <w:rPr>
          <w:rFonts w:ascii="Times New Roman" w:hAnsi="Times New Roman" w:cs="Times New Roman"/>
          <w:noProof/>
          <w:color w:val="000000" w:themeColor="text1"/>
        </w:rPr>
        <w:t>(1)</w:t>
      </w:r>
      <w:r w:rsidRPr="00B3074D">
        <w:rPr>
          <w:rFonts w:ascii="Times New Roman" w:hAnsi="Times New Roman" w:cs="Times New Roman"/>
          <w:color w:val="000000" w:themeColor="text1"/>
        </w:rPr>
        <w:fldChar w:fldCharType="end"/>
      </w:r>
      <w:r>
        <w:rPr>
          <w:rFonts w:ascii="Times New Roman" w:hAnsi="Times New Roman" w:cs="Times New Roman"/>
          <w:color w:val="000000" w:themeColor="text1"/>
        </w:rPr>
        <w:t>. Classically</w:t>
      </w:r>
      <w:r w:rsidRPr="00B3074D">
        <w:rPr>
          <w:rFonts w:ascii="Times New Roman" w:hAnsi="Times New Roman" w:cs="Times New Roman"/>
          <w:color w:val="000000" w:themeColor="text1"/>
        </w:rPr>
        <w:t xml:space="preserve">, </w:t>
      </w:r>
      <w:r>
        <w:rPr>
          <w:rFonts w:ascii="Times New Roman" w:hAnsi="Times New Roman" w:cs="Times New Roman"/>
          <w:color w:val="000000" w:themeColor="text1"/>
        </w:rPr>
        <w:t>producers</w:t>
      </w:r>
      <w:r w:rsidRPr="00B3074D">
        <w:rPr>
          <w:rFonts w:ascii="Times New Roman" w:hAnsi="Times New Roman" w:cs="Times New Roman"/>
          <w:color w:val="000000" w:themeColor="text1"/>
        </w:rPr>
        <w:t xml:space="preserve"> were concerned</w:t>
      </w:r>
      <w:r>
        <w:rPr>
          <w:rFonts w:ascii="Times New Roman" w:hAnsi="Times New Roman" w:cs="Times New Roman"/>
          <w:color w:val="000000" w:themeColor="text1"/>
        </w:rPr>
        <w:t xml:space="preserve"> </w:t>
      </w:r>
      <w:r w:rsidRPr="00B3074D">
        <w:rPr>
          <w:rFonts w:ascii="Times New Roman" w:hAnsi="Times New Roman" w:cs="Times New Roman"/>
          <w:color w:val="000000" w:themeColor="text1"/>
        </w:rPr>
        <w:t>a single parameter: crop yield. However, the birth of the soil health movement has prompted a new way of thinking about production agriculture with a newfound focus on long-term yield and a holo-ecosystem approach</w:t>
      </w:r>
      <w:r>
        <w:rPr>
          <w:rFonts w:ascii="Times New Roman" w:hAnsi="Times New Roman" w:cs="Times New Roman"/>
          <w:color w:val="000000" w:themeColor="text1"/>
        </w:rPr>
        <w:t xml:space="preserve"> to farming</w:t>
      </w:r>
      <w:r w:rsidRPr="00B3074D">
        <w:rPr>
          <w:rFonts w:ascii="Times New Roman" w:hAnsi="Times New Roman" w:cs="Times New Roman"/>
          <w:color w:val="000000" w:themeColor="text1"/>
        </w:rPr>
        <w:t xml:space="preserve">. </w:t>
      </w:r>
      <w:r w:rsidRPr="00B3074D">
        <w:rPr>
          <w:rFonts w:ascii="Times New Roman" w:hAnsi="Times New Roman" w:cs="Times New Roman"/>
          <w:color w:val="000000" w:themeColor="text1"/>
          <w:shd w:val="clear" w:color="auto" w:fill="FFFFFF"/>
        </w:rPr>
        <w:t xml:space="preserve">With this new school of thought, researchers and producers alike are realizing the importance of understanding the </w:t>
      </w:r>
      <w:r>
        <w:rPr>
          <w:rFonts w:ascii="Times New Roman" w:hAnsi="Times New Roman" w:cs="Times New Roman"/>
          <w:color w:val="000000" w:themeColor="text1"/>
          <w:shd w:val="clear" w:color="auto" w:fill="FFFFFF"/>
        </w:rPr>
        <w:t xml:space="preserve">non-target </w:t>
      </w:r>
      <w:r w:rsidRPr="00B3074D">
        <w:rPr>
          <w:rFonts w:ascii="Times New Roman" w:hAnsi="Times New Roman" w:cs="Times New Roman"/>
          <w:color w:val="000000" w:themeColor="text1"/>
          <w:shd w:val="clear" w:color="auto" w:fill="FFFFFF"/>
        </w:rPr>
        <w:t xml:space="preserve">effects that herbicide and other agricultural amendments might have on soil and the ecosystem services that it provides </w:t>
      </w:r>
      <w:r w:rsidRPr="00B3074D">
        <w:rPr>
          <w:rFonts w:ascii="Times New Roman" w:hAnsi="Times New Roman" w:cs="Times New Roman"/>
          <w:color w:val="000000" w:themeColor="text1"/>
          <w:shd w:val="clear" w:color="auto" w:fill="FFFFFF"/>
        </w:rPr>
        <w:fldChar w:fldCharType="begin" w:fldLock="1"/>
      </w:r>
      <w:r>
        <w:rPr>
          <w:rFonts w:ascii="Times New Roman" w:hAnsi="Times New Roman" w:cs="Times New Roman"/>
          <w:color w:val="000000" w:themeColor="text1"/>
          <w:shd w:val="clear" w:color="auto" w:fill="FFFFFF"/>
        </w:rPr>
        <w:instrText>ADDIN CSL_CITATION {"citationItems":[{"id":"ITEM-1","itemData":{"DOI":"10.1016/bs.agron.2015.11.005","ISBN":"9780128046814","ISSN":"00652113","abstract":"There is a growing awareness among farmers about the importance of soil for sustaining crop production and providing beneficial ecosystem services. Over the last 2 decades, global herbicide use has increased as farmers have shifted to more sustainable conservation tillage practices and have adopted herbicide-tolerant crop cultivars. The implications of increased herbicide use for soil biology are being questioned, but a comprehensive review on this topic is lacking. In this chapter we outline the chemistry and use of the major herbicide classes, and review the soil functions relevant to crop production. We then collate and critically evaluate the evidence for herbicide effects on soil biota and activity. In general, most studies suggest that the impacts of herbicide application on soil function are only minor and/or temporary. However, there are some instances where findings consistently suggest effects that could significantly alter soil function. These include disruptions to earthworm ecology in soils exposed to glyphosate and atrazine; inhibition of soil N-cycling (including biological N2-fixation, mineralization and nitrification) by sulfonylurea herbicides in alkaline or low organic matter soils; and site-specific increases in disease resulting from the application of a variety of herbicides. Issues with extrapolating these findings to broadacre farming include the lack of a consistent framework for assessing herbicide risk to soil biology, the relevance of the magnitude of herbicide impacts compared with the impacts of other soil management practices such as tillage or crop rotation, the complexity of herbicide formulations and mixtures, and the limited number of long-term field studies. © 2016.","author":[{"dropping-particle":"","family":"Rose","given":"Michael T.","non-dropping-particle":"","parse-names":false,"suffix":""},{"dropping-particle":"","family":"Cavagnaro","given":"Timothy R.","non-dropping-particle":"","parse-names":false,"suffix":""},{"dropping-particle":"","family":"Scanlan","given":"Craig A.","non-dropping-particle":"","parse-names":false,"suffix":""},{"dropping-particle":"","family":"Rose","given":"Terry J.","non-dropping-particle":"","parse-names":false,"suffix":""},{"dropping-particle":"","family":"Vancov","given":"Tony","non-dropping-particle":"","parse-names":false,"suffix":""},{"dropping-particle":"","family":"Kimber","given":"Stephen","non-dropping-particle":"","parse-names":false,"suffix":""},{"dropping-particle":"","family":"Kennedy","given":"Ivan R.","non-dropping-particle":"","parse-names":false,"suffix":""},{"dropping-particle":"","family":"Kookana","given":"Rai S.","non-dropping-particle":"","parse-names":false,"suffix":""},{"dropping-particle":"","family":"Zwieten","given":"Lukas","non-dropping-particle":"Van","parse-names":false,"suffix":""}],"container-title":"Advances in Agronomy","id":"ITEM-1","issued":{"date-parts":[["2016"]]},"number-of-pages":"133-220","publisher":"Elsevier Inc.","title":"Impact of Herbicides on Soil Biology and Function","type":"book","volume":"136"},"uris":["http://www.mendeley.com/documents/?uuid=ac62daf4-810b-4a1f-ac72-9f2d93b21b0b"]},{"id":"ITEM-2","itemData":{"DOI":"10.1016/j.agee.2013.10.010","ISSN":"01678809","author":[{"dropping-particle":"","family":"Palm","given":"Cheryl","non-dropping-particle":"","parse-names":false,"suffix":""},{"dropping-particle":"","family":"Blanco-Canqui","given":"Humberto","non-dropping-particle":"","parse-names":false,"suffix":""},{"dropping-particle":"","family":"DeClerck","given":"Fabrice","non-dropping-particle":"","parse-names":false,"suffix":""},{"dropping-particle":"","family":"Gatere","given":"Lydiah","non-dropping-particle":"","parse-names":false,"suffix":""},{"dropping-particle":"","family":"Grace","given":"Peter","non-dropping-particle":"","parse-names":false,"suffix":""}],"container-title":"Agriculture, Ecosystems &amp; Environment","id":"ITEM-2","issued":{"date-parts":[["2014","4"]]},"page":"87-105","title":"Conservation agriculture and ecosystem services: An overview","type":"article-journal","volume":"187"},"uris":["http://www.mendeley.com/documents/?uuid=fa86934d-c97d-4c22-bb76-e3a025f78f14"]}],"mendeley":{"formattedCitation":"(2, 3)","plainTextFormattedCitation":"(2, 3)","previouslyFormattedCitation":"(2, 3)"},"properties":{"noteIndex":0},"schema":"https://github.com/citation-style-language/schema/raw/master/csl-citation.json"}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Pr="00E800A0">
        <w:rPr>
          <w:rFonts w:ascii="Times New Roman" w:hAnsi="Times New Roman" w:cs="Times New Roman"/>
          <w:noProof/>
          <w:color w:val="000000" w:themeColor="text1"/>
          <w:shd w:val="clear" w:color="auto" w:fill="FFFFFF"/>
        </w:rPr>
        <w:t>(2, 3)</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w:t>
      </w:r>
    </w:p>
    <w:p w14:paraId="39D597FE" w14:textId="1C4A9ECD" w:rsidR="00E800A0" w:rsidRDefault="00E800A0" w:rsidP="00E800A0">
      <w:pPr>
        <w:shd w:val="clear" w:color="auto" w:fill="FFFFFF"/>
        <w:spacing w:before="100" w:beforeAutospacing="1" w:after="100" w:afterAutospacing="1"/>
        <w:jc w:val="both"/>
        <w:rPr>
          <w:rFonts w:ascii="Times New Roman" w:hAnsi="Times New Roman" w:cs="Times New Roman"/>
          <w:color w:val="000000" w:themeColor="text1"/>
        </w:rPr>
      </w:pPr>
      <w:r w:rsidRPr="00B3074D">
        <w:rPr>
          <w:rFonts w:ascii="Times New Roman" w:hAnsi="Times New Roman" w:cs="Times New Roman"/>
          <w:color w:val="000000" w:themeColor="text1"/>
        </w:rPr>
        <w:t xml:space="preserve">While commonly applied to control unwanted weedy plant populations, herbicides may also affect </w:t>
      </w:r>
      <w:r>
        <w:rPr>
          <w:rFonts w:ascii="Times New Roman" w:hAnsi="Times New Roman" w:cs="Times New Roman"/>
          <w:color w:val="000000" w:themeColor="text1"/>
        </w:rPr>
        <w:t xml:space="preserve">the </w:t>
      </w:r>
      <w:r w:rsidRPr="00B3074D">
        <w:rPr>
          <w:rFonts w:ascii="Times New Roman" w:hAnsi="Times New Roman" w:cs="Times New Roman"/>
          <w:color w:val="000000" w:themeColor="text1"/>
        </w:rPr>
        <w:t xml:space="preserve">structure and function </w:t>
      </w:r>
      <w:r>
        <w:rPr>
          <w:rFonts w:ascii="Times New Roman" w:hAnsi="Times New Roman" w:cs="Times New Roman"/>
          <w:color w:val="000000" w:themeColor="text1"/>
        </w:rPr>
        <w:t>of the soil microbiome</w:t>
      </w:r>
      <w:r w:rsidRPr="00B3074D">
        <w:rPr>
          <w:rFonts w:ascii="Times New Roman" w:hAnsi="Times New Roman" w:cs="Times New Roman"/>
          <w:color w:val="000000" w:themeColor="text1"/>
        </w:rPr>
        <w:t xml:space="preserve"> </w:t>
      </w:r>
      <w:r w:rsidRPr="00B3074D">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{"citationItems":[{"id":"ITEM-1","itemData":{"abstract":"Laboratory experiments were conducted to determine if paraquat had any effect on soil micro-organisms and consequently on soil fertility. Numbers of bacteria and moulds tended to increase with incubation time as residual paraquat decreased. Lag periods of 1-5 days were observed in the development of soil microflora and concomitant degradation of paraquat. Under controlled culture condi- tions, Aerobacter aerogenes, Agrobacterium tumefaciens, Pseudomonas fluorescens and Bacillus cereus were able to utilize paraquat as sole carbon and nitrogen sources in synthetic media. Paraquat at 0-25, 0-5, 2-5 and 25 ppm cation was added to four different soils to study changes in microbial activities concomitant with decreases in herbicide concentra- tion. Analytical recoveries were correlated inversely with clay mineral content, cation-ex- change capacity and organic matter. Mineralization of peptone nitrogen by amnnonification and nitrification was stimu- lated by 0-25 ppm; higher rates up to 25 ppm had little influence. A bimodal effect or growth inversion was observed in several instances, with increased microbial develop- ment at intermediate concentrations. Paraquat at recommended field rates appeared to have no appreciable influence on general microbial activities of importance to soil fertility.","author":[{"dropping-particle":"","family":"Tu","given":"C. M.","non-dropping-particle":"","parse-names":false,"suffix":""},{"dropping-particle":"","family":"Bollen","given":"W. B.","non-dropping-particle":"","parse-names":false,"suffix":""}],"container-title":"Weed Research","id":"ITEM-1","issued":{"date-parts":[["1968"]]},"page":"38-45","title":"Interaction between Paraquat and microbes in soils","type":"article-journal","volume":"8"},"uris":["http://www.mendeley.com/documents/?uuid=0f0b667c-d53f-47b6-aaf4-96a288e8b190"]},{"id":"ITEM-2","itemData":{"DOI":"10.1016/j.soilbio.2015.09.014","ISBN":"00380717","ISSN":"00380717","abstract":"The herbicide glyphosate is an important tool for weed management in many agricultural systems, but concerns have been raised that its increasing use impacts soil biology. At present, the influence of glyphosate on soil microbial biomass (SMB) and soil microbial respiration (SMR) is unclear, with inconsistent results across published studies. We hypothesised that differences in rates and formulation of herbicide application, presence or absence of plants, and variability in soil parameters such as pH and organic carbon (OC), may have contributed to the inconsistent results. To identify trends in the literature, we conducted a meta-analysis using linear mixed-effect and boosted regression tree models. Moderator variables included glyphosate concentration, soil pH, OC, planted or un-planted soils, field or pot experiments and time after glyphosate application. Glyphosate application, as well as moderator variables (pH, glyphosate concentration, OC and time after application) significantly affected microbial biomass and its activity. Increases in glyphosate and OC concentrations led to transitory enhancement (less than 60 days) of SMR and SMB, while respiration tended to be reduced after 60 days. Notably, field application rates (i.e. &lt;10 mg kg-1) had no significant effect on SMR or SMB, but SMB was significantly lower at glyphosate concentrations of 10-100 mg kg-1. Ultimately, the fact that management and environmental factors regulated the soil microbial response means that generalisations about the toxicity or safety of glyphosate to SMR and SMB should be qualified with details of the conditions under which glyphosate is applied.","author":[{"dropping-particle":"","family":"Nguyen","given":"Duy B.","non-dropping-particle":"","parse-names":false,"suffix":""},{"dropping-particle":"","family":"Rose","given":"Michael T.","non-dropping-particle":"","parse-names":false,"suffix":""},{"dropping-particle":"","family":"Rose","given":"Terry J.","non-dropping-particle":"","parse-names":false,"suffix":""},{"dropping-particle":"","family":"Morris","given":"Stephen G.","non-dropping-particle":"","parse-names":false,"suffix":""},{"dropping-particle":"","family":"Zwieten","given":"Lukas","non-dropping-particle":"van","parse-names":false,"suffix":""}],"container-title":"Soil Biology and Biochemistry","id":"ITEM-2","issued":{"date-parts":[["2016"]]},"page":"50-57","publisher":"Elsevier Ltd","title":"Impact of glyphosate on soil microbial biomass and respiration: A meta-analysis","type":"article-journal","volume":"92"},"uris":["http://www.mendeley.com/documents/?uuid=a6e2c827-3414-4c11-9d5c-18ab0cdbd710"]},{"id":"ITEM-3","itemData":{"DOI":"10.1016/bs.agron.2015.11.005","ISBN":"9780128046814","ISSN":"00652113","abstract":"There is a growing awareness among farmers about the importance of soil for sustaining crop production and providing beneficial ecosystem services. Over the last 2 decades, global herbicide use has increased as farmers have shifted to more sustainable conservation tillage practices and have adopted herbicide-tolerant crop cultivars. The implications of increased herbicide use for soil biology are being questioned, but a comprehensive review on this topic is lacking. In this chapter we outline the chemistry and use of the major herbicide classes, and review the soil functions relevant to crop production. We then collate and critically evaluate the evidence for herbicide effects on soil biota and activity. In general, most studies suggest that the impacts of herbicide application on soil function are only minor and/or temporary. However, there are some instances where findings consistently suggest effects that could significantly alter soil function. These include disruptions to earthworm ecology in soils exposed to glyphosate and atrazine; inhibition of soil N-cycling (including biological N2-fixation, mineralization and nitrification) by sulfonylurea herbicides in alkaline or low organic matter soils; and site-specific increases in disease resulting from the application of a variety of herbicides. Issues with extrapolating these findings to broadacre farming include the lack of a consistent framework for assessing herbicide risk to soil biology, the relevance of the magnitude of herbicide impacts compared with the impacts of other soil management practices such as tillage or crop rotation, the complexity of herbicide formulations and mixtures, and the limited number of long-term field studies. © 2016.","author":[{"dropping-particle":"","family":"Rose","given":"Michael T.","non-dropping-particle":"","parse-names":false,"suffix":""},{"dropping-particle":"","family":"Cavagnaro","given":"Timothy R.","non-dropping-particle":"","parse-names":false,"suffix":""},{"dropping-particle":"","family":"Scanlan","given":"Craig A.","non-dropping-particle":"","parse-names":false,"suffix":""},{"dropping-particle":"","family":"Rose","given":"Terry J.","non-dropping-particle":"","parse-names":false,"suffix":""},{"dropping-particle":"","family":"Vancov","given":"Tony","non-dropping-particle":"","parse-names":false,"suffix":""},{"dropping-particle":"","family":"Kimber","given":"Stephen","non-dropping-particle":"","parse-names":false,"suffix":""},{"dropping-particle":"","family":"Kennedy","given":"Ivan R.","non-dropping-particle":"","parse-names":false,"suffix":""},{"dropping-particle":"","family":"Kookana","given":"Rai S.","non-dropping-particle":"","parse-names":false,"suffix":""},{"dropping-particle":"","family":"Zwieten","given":"Lukas","non-dropping-particle":"Van","parse-names":false,"suffix":""}],"container-title":"Advances in Agronomy","id":"ITEM-3","issued":{"date-parts":[["2016"]]},"number-of-pages":"133-220","publisher":"Elsevier Inc.","title":"Impact of Herbicides on Soil Biology and Function","type":"book","volume":"136"},"uris":["http://www.mendeley.com/documents/?uuid=ac62daf4-810b-4a1f-ac72-9f2d93b21b0b"]},{"id":"ITEM-4","itemData":{"DOI":"10.1016/j.apsoil.2016.05.005","ISSN":"09291393","abstract":"Pesticides and organic amendments are widely used in agricultural soils, the former for pest control and to improve crop yield, and the latter to maintain soil quality and to mitigate pesticide leaching. Both amendments and pesticides can affect soil microbial communities, which may impact crop fitness. Therefore, the objective of the current study was to investigate the changes that occur to soil microbial communities following use of the low-cost organic residue spent mushroom substrate (SMS) (2% and 5% on a dry weight basis) as an amendment to an agricultural soil in combination with the widely used pesticides azoxystrobin or pirimicarb (at 2 and 25 mg kg-1rates). Dissipation experiments showed that azoxystrobin was more persistent than pirimicarb over the incubation time (90 days). The half-life (DT50) values of azoxystrobin (2 mg kg-1) and pirimicarb (2 and 25 mg kg-1) decreased, while DT50values of azoxystrobin (25 mg kg-1) increased when SMS was applied to soil. Broad-scale methods such as soil dehydrogenase activity (DHA) and soil respiration showed that SMS rate, pesticide dose and incubation time all affected microbial community metabolism. DHA increased in SMS-amended soils and increased (azoxystrobin) or decreased (pirimicarb) over incubation time. Respiration increased in the soils when the concentration of the pesticide increased and decreased with increasing incubation time. Illumina MiSeq analysis of 18S rRNA genes demonstrated a strong effect of the SMS and incubation time, but not the pesticides, on micro-eukaryote community composition.","author":[{"dropping-particle":"","family":"Álvarez-Martín","given":"Alba","non-dropping-particle":"","parse-names":false,"suffix":""},{"dropping-particle":"","family":"Hilton","given":"Sally L.","non-dropping-particle":"","parse-names":false,"suffix":""},{"dropping-particle":"","family":"Bending","given":"Gary D.","non-dropping-particle":"","parse-names":false,"suffix":""},{"dropping-particle":"","family":"Rodríguez-Cruz","given":"M. Sonia","non-dropping-particle":"","parse-names":false,"suffix":""},{"dropping-particle":"","family":"Sánchez-Martín","given":"M. Jesús","non-dropping-particle":"","parse-names":false,"suffix":""}],"container-title":"Applied Soil Ecology","id":"ITEM-4","issued":{"date-parts":[["2016"]]},"page":"47-57","title":"Changes in activity and structure of the soil microbial community after application of azoxystrobin or pirimicarb and an organic amendment to an agricultural soil","type":"article-journal","volume":"106"},"uris":["http://www.mendeley.com/documents/?uuid=22d51b4c-10d0-43eb-b7c1-8419b092cad8"]},{"id":"ITEM-5","itemData":{"author":[{"dropping-particle":"","family":"Liao","given":"Hanpeng","non-dropping-particle":"","parse-names":false,"suffix":""},{"dropping-particle":"","family":"Li","given":"Xi","non-dropping-particle":"","parse-names":false,"suffix":""},{"dropping-particle":"","family":"Yang","given":"Qiue","non-dropping-particle":"","parse-names":false,"suffix":""},{"dropping-particle":"","family":"Bai","given":"Yudan","non-dropping-particle":"","parse-names":false,"suffix":""},{"dropping-particle":"","family":"Cui","given":"Peng","non-dropping-particle":"","parse-names":false,"suffix":""},{"dropping-particle":"","family":"Wen","given":"Chang","non-dropping-particle":"","parse-names":false,"suffix":""},{"dropping-particle":"","family":"Liu","given":"Chen","non-dropping-particle":"","parse-names":false,"suffix":""},{"dropping-particle":"","family":"Chen","given":"Zhi","non-dropping-particle":"","parse-names":false,"suffix":""}],"id":"ITEM-5","issue":"434","issued":{"date-parts":[["2021"]]},"title":"Herbicide selection promotes antibiotic resistance in soil microbiomes","type":"article-journal"},"uris":["http://www.mendeley.com/documents/?uuid=c3f4c0df-370e-4f87-a946-b55c9f623037"]}],"mendeley":{"formattedCitation":"(2, 4–7)","plainTextFormattedCitation":"(2, 4–7)","previouslyFormattedCitation":"(2, 4–7)"},"properties":{"noteIndex":0},"schema":"https://github.com/citation-style-language/schema/raw/master/csl-citation.json"}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E800A0">
        <w:rPr>
          <w:rFonts w:ascii="Times New Roman" w:hAnsi="Times New Roman" w:cs="Times New Roman"/>
          <w:noProof/>
          <w:color w:val="000000" w:themeColor="text1"/>
        </w:rPr>
        <w:t>(2, 4–7)</w:t>
      </w:r>
      <w:r w:rsidRPr="00B3074D">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This unseen component of agroecosystems </w:t>
      </w:r>
      <w:r w:rsidRPr="00B3074D">
        <w:rPr>
          <w:rFonts w:ascii="Times New Roman" w:hAnsi="Times New Roman" w:cs="Times New Roman"/>
          <w:color w:val="000000" w:themeColor="text1"/>
        </w:rPr>
        <w:t>provide</w:t>
      </w:r>
      <w:r>
        <w:rPr>
          <w:rFonts w:ascii="Times New Roman" w:hAnsi="Times New Roman" w:cs="Times New Roman"/>
          <w:color w:val="000000" w:themeColor="text1"/>
        </w:rPr>
        <w:t>s</w:t>
      </w:r>
      <w:r w:rsidRPr="00B3074D">
        <w:rPr>
          <w:rFonts w:ascii="Times New Roman" w:hAnsi="Times New Roman" w:cs="Times New Roman"/>
          <w:color w:val="000000" w:themeColor="text1"/>
        </w:rPr>
        <w:t xml:space="preserve"> countless benefits</w:t>
      </w:r>
      <w:r>
        <w:rPr>
          <w:rFonts w:ascii="Times New Roman" w:hAnsi="Times New Roman" w:cs="Times New Roman"/>
          <w:color w:val="000000" w:themeColor="text1"/>
        </w:rPr>
        <w:t xml:space="preserve"> including</w:t>
      </w:r>
      <w:r w:rsidRPr="00B3074D">
        <w:rPr>
          <w:rFonts w:ascii="Times New Roman" w:hAnsi="Times New Roman" w:cs="Times New Roman"/>
          <w:color w:val="000000" w:themeColor="text1"/>
        </w:rPr>
        <w:t xml:space="preserve"> plant growth promotion </w:t>
      </w:r>
      <w:r w:rsidRPr="00B3074D">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{"citationItems":[{"id":"ITEM-1","itemData":{"DOI":"10.1590/S1415-475738420150053","ISSN":"16784685","abstract":"Plant-microbe interactions in the rhizosphere are the determinants of plant health, productivity and soil fertility. Plant growth-promoting bacteria (PGPB) are bacteria that can enhance plant growth and protect plants from disease and abiotic stresses through a wide variety of mechanisms; those that establish close associations with plants, such as the endophytes, could be more successful in plant growth promotion. Several important bacterial characteristics, such as biological nitrogen fixation, phosphate solubilization, ACC deaminase activity, and production of siderophores and phytohormones, can be assessed as plant growth promotion (PGP) traits. Bacterial inoculants can contribute to increase agronomic efficiency by reducing production costs and environmental pollution, once the use of chemical fertilizers can be reduced or eliminated if the inoculants are efficient. For bacterial inoculants to obtain success in improving plant growth and productivity, several processes involved can influence the efficiency of inoculation, as for example the exudation by plant roots, the bacterial colonization in the roots, and soil health. This review presents an overview of the importance of soil-plant-microbe interactions to the development of efficient inoculants, once PGPB are extensively studied microorganisms, representing a very diverse group of easily accessible beneficial bacteria.","author":[{"dropping-particle":"","family":"Souza","given":"Rocheli","non-dropping-particle":"de","parse-names":false,"suffix":""},{"dropping-particle":"","family":"Ambrosini","given":"Adriana","non-dropping-particle":"","parse-names":false,"suffix":""},{"dropping-particle":"","family":"Passaglia","given":"Luciane M.P.","non-dropping-particle":"","parse-names":false,"suffix":""}],"container-title":"Genetics and Molecular Biology","id":"ITEM-1","issue":"4","issued":{"date-parts":[["2015"]]},"page":"401-419","title":"Plant growth-promoting bacteria as inoculants in agricultural soils","type":"article-journal","volume":"38"},"uris":["http://www.mendeley.com/documents/?uuid=1a67b8c7-748a-4b0c-84f8-8e32fa8364e0"]}],"mendeley":{"formattedCitation":"(8)","plainTextFormattedCitation":"(8)","previouslyFormattedCitation":"(8)"},"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E800A0">
        <w:rPr>
          <w:rFonts w:ascii="Times New Roman" w:hAnsi="Times New Roman" w:cs="Times New Roman"/>
          <w:noProof/>
          <w:color w:val="000000" w:themeColor="text1"/>
        </w:rPr>
        <w:t>(8)</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pathogen suppression </w:t>
      </w:r>
      <w:r w:rsidRPr="00B3074D">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DOI":"10.1016/j.cell.2018.10.020","ISSN":"00928674","author":[{"dropping-particle":"","family":"Durán","given":"Paloma","non-dropping-particle":"","parse-names":false,"suffix":""},{"dropping-particle":"","family":"Thiergart","given":"Thorsten","non-dropping-particle":"","parse-names":false,"suffix":""},{"dropping-particle":"","family":"Garrido-Oter","given":"Ruben","non-dropping-particle":"","parse-names":false,"suffix":""},{"dropping-particle":"","family":"Agler","given":"Matthew","non-dropping-particle":"","parse-names":false,"suffix":""},{"dropping-particle":"","family":"Kemen","given":"Eric","non-dropping-particle":"","parse-names":false,"suffix":""},{"dropping-particle":"","family":"Schulze-Lefert","given":"Paul","non-dropping-particle":"","parse-names":false,"suffix":""},{"dropping-particle":"","family":"Hacquard","given":"Stéphane","non-dropping-particle":"","parse-names":false,"suffix":""}],"container-title":"Cell","id":"ITEM-1","issue":"4","issued":{"date-parts":[["2018","11"]]},"page":"973-983","title":"Microbial Interkingdom Interactions in Roots Promote Arabidopsis Survival","type":"article-journal","volume":"175"},"uris":["http://www.mendeley.com/documents/?uuid=1d3e8aa5-e2e0-49b3-a9f9-99ad59edc54b"]}],"mendeley":{"formattedCitation":"(9)","plainTextFormattedCitation":"(9)","previouslyFormattedCitation":"(9)"},"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E800A0">
        <w:rPr>
          <w:rFonts w:ascii="Times New Roman" w:hAnsi="Times New Roman" w:cs="Times New Roman"/>
          <w:noProof/>
          <w:color w:val="000000" w:themeColor="text1"/>
        </w:rPr>
        <w:t>(9)</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w:t>
      </w:r>
      <w:r>
        <w:rPr>
          <w:rFonts w:ascii="Times New Roman" w:hAnsi="Times New Roman" w:cs="Times New Roman"/>
          <w:color w:val="000000" w:themeColor="text1"/>
        </w:rPr>
        <w:t>enhanced n</w:t>
      </w:r>
      <w:r w:rsidRPr="00B3074D">
        <w:rPr>
          <w:rFonts w:ascii="Times New Roman" w:hAnsi="Times New Roman" w:cs="Times New Roman"/>
          <w:color w:val="000000" w:themeColor="text1"/>
        </w:rPr>
        <w:t xml:space="preserve">utrient cycling </w:t>
      </w:r>
      <w:r w:rsidRPr="00B3074D">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DOI":"10.1016/S0038-0717(01)00207-3","ISSN":"00380717","author":[{"dropping-particle":"","family":"Chen","given":"C.R","non-dropping-particle":"","parse-names":false,"suffix":""},{"dropping-particle":"","family":"Condron","given":"L.M","non-dropping-particle":"","parse-names":false,"suffix":""},{"dropping-particle":"","family":"Davis","given":"M.R","non-dropping-particle":"","parse-names":false,"suffix":""},{"dropping-particle":"","family":"Sherlock","given":"R.R","non-dropping-particle":"","parse-names":false,"suffix":""}],"container-title":"Soil Biology and Biochemistry","id":"ITEM-1","issue":"4","issued":{"date-parts":[["2002","4"]]},"page":"487-499","title":"Phosphorus dynamics in the rhizosphere of perennial ryegrass (Lolium perenne L.) and radiata pine (Pinus radiata D. Don.)","type":"article-journal","volume":"34"},"uris":["http://www.mendeley.com/documents/?uuid=23aedf4b-f4cb-4370-afe7-d682e2403504"]},{"id":"ITEM-2","itemData":{"DOI":"10.1007/s11104-009-9895-2","ISSN":"0032-079X","author":[{"dropping-particle":"","family":"Richardson","given":"Alan E.","non-dropping-particle":"","parse-names":false,"suffix":""},{"dropping-particle":"","family":"Barea","given":"José-Miguel","non-dropping-particle":"","parse-names":false,"suffix":""},{"dropping-particle":"","family":"McNeill","given":"Ann M.","non-dropping-particle":"","parse-names":false,"suffix":""},{"dropping-particle":"","family":"Prigent-Combaret","given":"Claire","non-dropping-particle":"","parse-names":false,"suffix":""}],"container-title":"Plant and Soil","id":"ITEM-2","issue":"1-2","issued":{"date-parts":[["2009","8","27"]]},"page":"305-339","title":"Acquisition of phosphorus and nitrogen in the rhizosphere and plant growth promotion by microorganisms","type":"article-journal","volume":"321"},"uris":["http://www.mendeley.com/documents/?uuid=3ab98b64-da17-402d-94eb-2cb7e17a476e"]},{"id":"ITEM-3","itemData":{"DOI":"10.1104/pp.111.175448","ISSN":"0032-0889","author":[{"dropping-particle":"","family":"Richardson","given":"Alan E.","non-dropping-particle":"","parse-names":false,"suffix":""},{"dropping-particle":"","family":"Simpson","given":"Richard J.","non-dropping-particle":"","parse-names":false,"suffix":""}],"container-title":"Plant Physiology","id":"ITEM-3","issue":"3","issued":{"date-parts":[["2011","7"]]},"page":"989-996","title":"Soil Microorganisms Mediating Phosphorus Availability Update on Microbial Phosphorus","type":"article-journal","volume":"156"},"uris":["http://www.mendeley.com/documents/?uuid=eba420e6-c238-4edc-8750-6050e8803ca0"]},{"id":"ITEM-4","itemData":{"DOI":"10.3389/fmicb.2018.01516","ISSN":"1664-302X","abstract":"Plant rhizospheres encompass a dynamic zone of interactions between microorganisms and their respective plant hosts. For decades, researchers have worked to understand how these complex interactions influence different aspects of plant growth, development, and evolution. Studies of plant-microbial interactions in the root zone have typically focused on the effect of single microbial species or strains on a plant host. These studies, however, provide only a snapshot of the complex interactions that occur in the rhizosphere, leaving researchers with a limited understanding of how the complex microbiome influences the biology of the plant host. To better understand how rhizosphere interactions influence plant growth and development, novel frameworks and research methodologies could be implemented. In this perspective, we propose applying concepts in evolutionary biology to microbiome experiments for improved understanding of group-to-group and community-level microbial interactions influencing soil nutrient cycling. We also put forth simple experimental designs utilizing -omics techniques that can reveal important changes in the rhizosphere impacting the plant host. A greater focus on the components of complexity of the microbiome and how these impact plant host biology could yield more insight into previously unexplored aspects of host-microbe biology relevant to crop production and protection.","author":[{"dropping-particle":"","family":"Garcia","given":"Joshua","non-dropping-particle":"","parse-names":false,"suffix":""},{"dropping-particle":"","family":"Kao-Kniffin","given":"Jenny","non-dropping-particle":"","parse-names":false,"suffix":""}],"container-title":"Frontiers in Microbiology","id":"ITEM-4","issue":"JUL","issued":{"date-parts":[["2018","7","11"]]},"page":"1-7","title":"Microbial Group Dynamics in Plant Rhizospheres and Their Implications on Nutrient Cycling","type":"article-journal","volume":"9"},"uris":["http://www.mendeley.com/documents/?uuid=463be0c0-646b-40c5-8ea3-6d02af4cbd0a"]}],"mendeley":{"formattedCitation":"(10–13)","plainTextFormattedCitation":"(10–13)","previouslyFormattedCitation":"(10–13)"},"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E800A0">
        <w:rPr>
          <w:rFonts w:ascii="Times New Roman" w:hAnsi="Times New Roman" w:cs="Times New Roman"/>
          <w:noProof/>
          <w:color w:val="000000" w:themeColor="text1"/>
        </w:rPr>
        <w:t>(10–13)</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as well as aggregate formation and maintenance of soil structure</w:t>
      </w:r>
      <w:r>
        <w:rPr>
          <w:rFonts w:ascii="Times New Roman" w:hAnsi="Times New Roman" w:cs="Times New Roman"/>
          <w:color w:val="000000" w:themeColor="text1"/>
        </w:rPr>
        <w:t xml:space="preserve">. Thus, </w:t>
      </w:r>
      <w:r w:rsidRPr="00B3074D">
        <w:rPr>
          <w:rFonts w:ascii="Times New Roman" w:hAnsi="Times New Roman" w:cs="Times New Roman"/>
          <w:color w:val="000000" w:themeColor="text1"/>
        </w:rPr>
        <w:t>contributing an estimated $330 to $500 per ha/</w:t>
      </w:r>
      <w:proofErr w:type="spellStart"/>
      <w:r w:rsidRPr="00B3074D">
        <w:rPr>
          <w:rFonts w:ascii="Times New Roman" w:hAnsi="Times New Roman" w:cs="Times New Roman"/>
          <w:color w:val="000000" w:themeColor="text1"/>
        </w:rPr>
        <w:t>yr</w:t>
      </w:r>
      <w:proofErr w:type="spellEnd"/>
      <w:r w:rsidRPr="00B3074D">
        <w:rPr>
          <w:rFonts w:ascii="Times New Roman" w:hAnsi="Times New Roman" w:cs="Times New Roman"/>
          <w:color w:val="000000" w:themeColor="text1"/>
        </w:rPr>
        <w:t xml:space="preserve"> in ecosystem services </w:t>
      </w:r>
      <w:r w:rsidRPr="00B3074D">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{"citationItems":[{"id":"ITEM-1","itemData":{"DOI":"10.1016/j.ecolecon.2007.05.007","ISBN":"0921-8009","ISSN":"09218009","abstract":"In the current work, a novel, experimental 'bottom-up' approach is used to quantify the economic value of ecosystem services (ES) associated with highly modified arable landscapes in Canterbury, New Zealand. First, the role of land management practices in the maintenance and enhancement of ES in agricultural land was investigated by quantifying the economic value of ES at the field level under organic and conventional arable systems. This quantification was based on an experimental approach in contrast with earlier value transfer methods. Total economic value of ES in organic fields ranged from US $1610 to US $19,420 ha- 1 yr- 1 and that of conventional fields from US $1270 to US $14,570 ha- 1 yr- 1. The non-market value of ES in organic fields ranged from US $460 to US $5240 ha- 1 yr- 1. The range of non-market values of ES in conventional fields was US $50 - 1240 ha- 1 yr- 1. There were significant differences between organic and conventional fields for the economic values of some ES. Next, this economic information was used to extrapolate and to calculate the total and non-market value of ES in Canterbury arable land. The total annual economic and non-market values of ES for the conventional arable area in Canterbury (125,000 ha) were US $332 million and US $71 million, respectively. If half the arable area under conventional farming shifted to organic practices, the total economic value of ES would be US $192 million and US $166 million annually for organic and conventional arable area, respectively. In this case, the non-market value of ES for the organic area was US $65 million and that of conventional area was US $35 million annually. This study demonstrated that arable farming provides a range of ES which can be measured using field experiments based on ecological principles by incorporating a 'bottom-up' approach. The work also showed that conventional New Zealand arable farming practices can severely reduce the financial contribution of some of these services in agriculture whereas organic agricultural practices enhance their economic value. © 2007 Elsevier B.V. All rights reserved.","author":[{"dropping-particle":"","family":"Sandhu","given":"Harpinder S.","non-dropping-particle":"","parse-names":false,"suffix":""},{"dropping-particle":"","family":"Wratten","given":"Stephen D.","non-dropping-particle":"","parse-names":false,"suffix":""},{"dropping-particle":"","family":"Cullen","given":"Ross","non-dropping-particle":"","parse-names":false,"suffix":""},{"dropping-particle":"","family":"Case","given":"Brad","non-dropping-particle":"","parse-names":false,"suffix":""}],"container-title":"Ecological Economics","id":"ITEM-1","issue":"4","issued":{"date-parts":[["2008"]]},"page":"835-848","title":"The future of farming: The value of ecosystem services in conventional and organic arable land. An experimental approach","type":"article-journal","volume":"64"},"uris":["http://www.mendeley.com/documents/?uuid=3e19e38f-56ff-4be3-ae11-80bc4f4f7186"]}],"mendeley":{"formattedCitation":"(14)","plainTextFormattedCitation":"(14)","previouslyFormattedCitation":"(14)"},"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E800A0">
        <w:rPr>
          <w:rFonts w:ascii="Times New Roman" w:hAnsi="Times New Roman" w:cs="Times New Roman"/>
          <w:noProof/>
          <w:color w:val="000000" w:themeColor="text1"/>
        </w:rPr>
        <w:t>(14)</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w:t>
      </w:r>
      <w:r w:rsidRPr="00E800A0">
        <w:rPr>
          <w:rFonts w:ascii="Times New Roman" w:hAnsi="Times New Roman" w:cs="Times New Roman"/>
          <w:color w:val="000000" w:themeColor="text1"/>
        </w:rPr>
        <w:t xml:space="preserve"> </w:t>
      </w:r>
      <w:r>
        <w:rPr>
          <w:rFonts w:ascii="Times New Roman" w:hAnsi="Times New Roman" w:cs="Times New Roman"/>
          <w:color w:val="000000" w:themeColor="text1"/>
        </w:rPr>
        <w:t>Given their critical importance in agroecosystems, understanding how microbial communities respond to herbicide application</w:t>
      </w:r>
      <w:r w:rsidRPr="00E800A0">
        <w:rPr>
          <w:rFonts w:ascii="Times New Roman" w:hAnsi="Times New Roman" w:cs="Times New Roman"/>
          <w:color w:val="000000" w:themeColor="text1"/>
        </w:rPr>
        <w:t xml:space="preserve"> </w:t>
      </w:r>
      <w:r w:rsidRPr="00B3074D">
        <w:rPr>
          <w:rFonts w:ascii="Times New Roman" w:hAnsi="Times New Roman" w:cs="Times New Roman"/>
          <w:color w:val="000000" w:themeColor="text1"/>
        </w:rPr>
        <w:t xml:space="preserve">is necessary </w:t>
      </w:r>
      <w:r w:rsidRPr="00B3074D">
        <w:rPr>
          <w:rFonts w:ascii="Times New Roman" w:hAnsi="Times New Roman" w:cs="Times New Roman"/>
          <w:color w:val="000000" w:themeColor="text1"/>
        </w:rPr>
        <w:t>to</w:t>
      </w:r>
      <w:r w:rsidRPr="00B3074D">
        <w:rPr>
          <w:rFonts w:ascii="Times New Roman" w:hAnsi="Times New Roman" w:cs="Times New Roman"/>
          <w:color w:val="000000" w:themeColor="text1"/>
        </w:rPr>
        <w:t xml:space="preserve"> optimize agricultural systems for </w:t>
      </w:r>
      <w:r>
        <w:rPr>
          <w:rFonts w:ascii="Times New Roman" w:hAnsi="Times New Roman" w:cs="Times New Roman"/>
          <w:color w:val="000000" w:themeColor="text1"/>
        </w:rPr>
        <w:t xml:space="preserve">maximum </w:t>
      </w:r>
      <w:r w:rsidRPr="00B3074D">
        <w:rPr>
          <w:rFonts w:ascii="Times New Roman" w:hAnsi="Times New Roman" w:cs="Times New Roman"/>
          <w:color w:val="000000" w:themeColor="text1"/>
        </w:rPr>
        <w:t>yield and sustainability</w:t>
      </w:r>
      <w:r>
        <w:rPr>
          <w:rFonts w:ascii="Times New Roman" w:hAnsi="Times New Roman" w:cs="Times New Roman"/>
          <w:color w:val="000000" w:themeColor="text1"/>
        </w:rPr>
        <w:t xml:space="preserve">. </w:t>
      </w:r>
    </w:p>
    <w:p w14:paraId="173F1133" w14:textId="3725234D" w:rsidR="00E800A0" w:rsidRDefault="00E800A0" w:rsidP="00E800A0">
      <w:pPr>
        <w:shd w:val="clear" w:color="auto" w:fill="FFFFFF"/>
        <w:spacing w:before="100" w:beforeAutospacing="1" w:after="100" w:afterAutospacing="1"/>
        <w:jc w:val="both"/>
        <w:rPr>
          <w:rFonts w:ascii="Times New Roman" w:hAnsi="Times New Roman" w:cs="Times New Roman"/>
          <w:color w:val="000000" w:themeColor="text1"/>
        </w:rPr>
      </w:pPr>
      <w:r>
        <w:rPr>
          <w:rFonts w:ascii="Times New Roman" w:eastAsia="Times New Roman" w:hAnsi="Times New Roman" w:cs="Times New Roman"/>
          <w:color w:val="222222"/>
        </w:rPr>
        <w:t xml:space="preserve">Reviews and syntheses of the effects that herbicide application has microbiome structure and function reveal a lack of generalizable trends </w:t>
      </w:r>
      <w:r w:rsidRPr="00B3074D">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{"citationItems":[{"id":"ITEM-1","itemData":{"DOI":"10.1016/j.ejsobi.2011.11.010","ISBN":"1164-5563","ISSN":"11645563","abstract":"Extensive application of industrially-produced pesticides in agriculture has resulted in contamination of soil ecosystems. A variety of both cultivation-dependent and cultivation-independent methods can be applied to measure and interpret the effects of pesticide exposure. We review here the expanding panel of these methods in the specific context of responses of the soil bacterial microflora to pesticide exposure, and of ongoing advances in microbial molecular ecology, including metagenomics and new approaches for DNA sequencing. Several issues still need to be addressed in order to routinely evaluate the effect of pesticides on bacterial communities in soil in the future, and to make way for a widely accepted framework for risk assessment in agro-ecosystems that include bacterial indicators. © 2011 Elsevier Masson SAS.","author":[{"dropping-particle":"","family":"Imfeld","given":"Gwenaël","non-dropping-particle":"","parse-names":false,"suffix":""},{"dropping-particle":"","family":"Vuilleumier","given":"Stéphane","non-dropping-particle":"","parse-names":false,"suffix":""}],"container-title":"European Journal of Soil Biology","id":"ITEM-1","issued":{"date-parts":[["2012"]]},"page":"22-30","publisher":"Elsevier Masson SAS","title":"Measuring the effects of pesticides on bacterial communities in soil: A critical review","type":"article-journal","volume":"49"},"uris":["http://www.mendeley.com/documents/?uuid=268e01ee-2796-495d-9205-11bb5be45f98"]},{"id":"ITEM-2","itemData":{"DOI":"10.1071/SR05125","ISBN":"0004-9573","ISSN":"00049573","PMID":"696","abstract":"External agricultural inputs such as mineral fertilisers, organic amendments, microbial inoculants, and pesticides are applied with the ultimate goal of maximising productivity and economic returns, while side effects on soil organisms are often neglected. We have summarised the current understanding of how agricultural inputs affect the amounts, activity, and diversity of soil organisms. Mineral fertilisers have limited direct effects, but their application can enhance soil biological activity via increases in system productivity, crop residue return, and soil organic matter. Another important indirect effect especially of N fertilisation is soil acidification, with considerable negative effects on soil organisms. Organic amendments such as manure, compost, biosolids, and humic substances provide a direct source of C for soil organisms as well as an indirect C source via increased plant growth and plant residue returns. Non-target effects of microbial inoculants appear to be small and transient. Among the pesticides, few significant effects of herbicides on soil organisms have been documented, whereas negative effects of insecticides and fungicides are more common. Copper fungicides are among the most toxic and most persistent fungicides, and their application warrants strict regulation. Quality control of organic waste products such as municipal composts and biosolids is likewise mandatory to avoid accumulation of elements that are toxic to soil organisms. © CSIRO 2006.","author":[{"dropping-particle":"","family":"Bünemann","given":"E. K.","non-dropping-particle":"","parse-names":false,"suffix":""},{"dropping-particle":"","family":"Schwenke","given":"G. D.","non-dropping-particle":"","parse-names":false,"suffix":""},{"dropping-particle":"","family":"Zwieten","given":"L.","non-dropping-particle":"Van","parse-names":false,"suffix":""}],"container-title":"Australian Journal of Soil Research","id":"ITEM-2","issue":"4","issued":{"date-parts":[["2006"]]},"page":"379-406","title":"Impact of agricultural inputs on soil organisms - A review","type":"article-journal","volume":"44"},"uris":["http://www.mendeley.com/documents/?uuid=912753b6-4e3e-4c96-a9fa-4a7092330579"]},{"id":"ITEM-3","itemData":{"DOI":"10.1016/j.soilbio.2015.09.014","ISBN":"00380717","ISSN":"00380717","abstract":"The herbicide glyphosate is an important tool for weed management in many agricultural systems, but concerns have been raised that its increasing use impacts soil biology. At present, the influence of glyphosate on soil microbial biomass (SMB) and soil microbial respiration (SMR) is unclear, with inconsistent results across published studies. We hypothesised that differences in rates and formulation of herbicide application, presence or absence of plants, and variability in soil parameters such as pH and organic carbon (OC), may have contributed to the inconsistent results. To identify trends in the literature, we conducted a meta-analysis using linear mixed-effect and boosted regression tree models. Moderator variables included glyphosate concentration, soil pH, OC, planted or un-planted soils, field or pot experiments and time after glyphosate application. Glyphosate application, as well as moderator variables (pH, glyphosate concentration, OC and time after application) significantly affected microbial biomass and its activity. Increases in glyphosate and OC concentrations led to transitory enhancement (less than 60 days) of SMR and SMB, while respiration tended to be reduced after 60 days. Notably, field application rates (i.e. &lt;10 mg kg-1) had no significant effect on SMR or SMB, but SMB was significantly lower at glyphosate concentrations of 10-100 mg kg-1. Ultimately, the fact that management and environmental factors regulated the soil microbial response means that generalisations about the toxicity or safety of glyphosate to SMR and SMB should be qualified with details of the conditions under which glyphosate is applied.","author":[{"dropping-particle":"","family":"Nguyen","given":"Duy B.","non-dropping-particle":"","parse-names":false,"suffix":""},{"dropping-particle":"","family":"Rose","given":"Michael T.","non-dropping-particle":"","parse-names":false,"suffix":""},{"dropping-particle":"","family":"Rose","given":"Terry J.","non-dropping-particle":"","parse-names":false,"suffix":""},{"dropping-particle":"","family":"Morris","given":"Stephen G.","non-dropping-particle":"","parse-names":false,"suffix":""},{"dropping-particle":"","family":"Zwieten","given":"Lukas","non-dropping-particle":"van","parse-names":false,"suffix":""}],"container-title":"Soil Biology and Biochemistry","id":"ITEM-3","issued":{"date-parts":[["2016"]]},"page":"50-57","publisher":"Elsevier Ltd","title":"Impact of glyphosate on soil microbial biomass and respiration: A meta-analysis","type":"article-journal","volume":"92"},"uris":["http://www.mendeley.com/documents/?uuid=a6e2c827-3414-4c11-9d5c-18ab0cdbd710"]},{"id":"ITEM-4","itemData":{"DOI":"10.2903/sp.efsa.2012.en-359","ISSN":"23978325","abstract":"A systematic literature search was carried out in order to assess the response of microbial organisms to pesticides in aquatic and terrestrial environments. The major literature databases have been interrogated, and after a refinement of keywords, thousands of records were retrieved and manually screened for relevance, quality, publication date, language and suitability for quantitative metaanalyses. 234 records for the terrestrial lot and 42 records for the aquatic lot were retained after screening and analysed for the extraction of several relevant information regarding the type of study, the pesticide application dose, the microbial parameters measured. From each record, a number of case studies were extracted, a case study being represented by the measurement of a single product, at a specific dose on a specific microbiological endpoint. A high number of case studies (3405 for terrestrial and 458 for aquatic) were obtained, stored and analysed through an Access database query system. With such a query system, it was possible to show on a detailed semi-quantitative way that pesticides affect microbes in a number of ways, with significant reductions in microbiological endpoints of biomass and activity detected in less than half of the cases considered. Furthermore, a number of temporary effects were identified, with microbial endpoints being firstly affected and then restored to the original conditions. This report confirms on one hand the complexity of microbial parameters in terrestrial and aquatic environments, on the other the importance of considering carefully microbial features in the risk assessment of pesticides. In this context, the adoption of a macro-categorization of microbial responses (biomass, activity and structure) can be useful for handling complex data and to identify patterns that can be potentially used for the goal of protecting microorganisms from potential adverse effects of pesticides. Carrying out risk assessment for nontarget microbes on single molecules, as usually done for the risk assessment of pesticides, will be very important in order to identify which ones are eventually causing more detrimental effects. The literature survey also indicated that the pesticide applied dose strongly affect the outcomes, with less impacts when the pesticides are being applied at recommended field doses: it is thus recommended to further promote policies for use of pesticides according to good agricultural practices, since this can reduc…","author":[{"dropping-particle":"","family":"Puglisi","given":"Edoardo","non-dropping-particle":"","parse-names":false,"suffix":""}],"container-title":"EFSA Supporting Publications","id":"ITEM-4","issue":"11","issued":{"date-parts":[["2017"]]},"title":"Response of microbial organisms (aquatic and terrestrial) to pesticides","type":"article-journal","volume":"9"},"uris":["http://www.mendeley.com/documents/?uuid=03b764ae-ed20-47fa-8210-4a3a9d269f19"]},{"id":"ITEM-5","itemData":{"DOI":"10.1016/j.scitotenv.2019.05.230","ISSN":"18791026","PMID":"31153078","abstract":"Conventional agriculture still relies on the general use of agrochemicals (herbicides, fungicides and insecticides)to control various pests (weeds, fungal pathogens and insects), to ensure the yield of crop and to feed a constantly growing population. The generalized use of pesticides in agriculture leads to the contamination of soil and other connected environmental resources. The persistence of pesticide residues in soil is identified as a major threat for in-soil living organisms that are supporting an important number of ecosystem services. Although authorities released pesticides on the market only after their careful and thorough evaluation, the risk assessment for in-soil living organisms is unsatisfactory, particularly for microorganisms for which pesticide toxicity is solely considered by one global test measuring N mineralization. Recently, European Food Safety Authority (EFSA)underlined the lack of standardized methods to assess pesticide ecotoxicological effects on soil microorganisms. Within this context, there is an obvious need to develop innovative microbial markers sensitive to pesticide exposure. Biomarkers that reveal direct effects of pesticides on microorganisms are often viewed as the panacea. Such biomarkers can only be developed for pesticides having a mode of action inhibiting a specific enzyme not only found in the targeted organisms but also in microorganisms which are considered as “non-target organisms” by current regulations. This review explores possible ways of innovation to develop such biomarkers for herbicides. We scanned the herbicide classification by considering the mode of action, the targeted enzyme and the ecotoxicological effects of each class of active substance in order to identify those that can be tracked using sensitive microbial markers.","author":[{"dropping-particle":"","family":"Thiour-Mauprivez","given":"Clémence","non-dropping-particle":"","parse-names":false,"suffix":""},{"dropping-particle":"","family":"Martin-Laurent","given":"Fabrice","non-dropping-particle":"","parse-names":false,"suffix":""},{"dropping-particle":"","family":"Calvayrac","given":"Christophe","non-dropping-particle":"","parse-names":false,"suffix":""},{"dropping-particle":"","family":"Barthelmebs","given":"Lise","non-dropping-particle":"","parse-names":false,"suffix":""}],"container-title":"Science of the Total Environment","id":"ITEM-5","issued":{"date-parts":[["2019"]]},"page":"314-325","publisher":"Elsevier B.V.","title":"Effects of herbicide on non-target microorganisms: Towards a new class of biomarkers?","type":"article-journal","volume":"684"},"uris":["http://www.mendeley.com/documents/?uuid=30c9144b-bbc6-44e9-b071-fcdc022bdb87"]}],"mendeley":{"formattedCitation":"(5, 15–18)","plainTextFormattedCitation":"(5, 15–18)","previouslyFormattedCitation":"(5, 15–18)"},"properties":{"noteIndex":0},"schema":"https://github.com/citation-style-language/schema/raw/master/csl-citation.json"}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E800A0">
        <w:rPr>
          <w:rFonts w:ascii="Times New Roman" w:hAnsi="Times New Roman" w:cs="Times New Roman"/>
          <w:noProof/>
          <w:color w:val="000000" w:themeColor="text1"/>
        </w:rPr>
        <w:t>(5, 15–18)</w:t>
      </w:r>
      <w:r w:rsidRPr="00B3074D">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Pr>
          <w:rFonts w:ascii="Times New Roman" w:eastAsia="Times New Roman" w:hAnsi="Times New Roman" w:cs="Times New Roman"/>
          <w:color w:val="222222"/>
        </w:rPr>
        <w:t xml:space="preserve">and instead show that the effects are dependent upon the characteristics of the soil, plant, application rate, and mode of action </w:t>
      </w:r>
      <w:r>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{"citationItems":[{"id":"ITEM-1","itemData":{"DOI":"10.1016/j.soilbio.2015.09.014","ISBN":"00380717","ISSN":"00380717","abstract":"The herbicide glyphosate is an important tool for weed management in many agricultural systems, but concerns have been raised that its increasing use impacts soil biology. At present, the influence of glyphosate on soil microbial biomass (SMB) and soil microbial respiration (SMR) is unclear, with inconsistent results across published studies. We hypothesised that differences in rates and formulation of herbicide application, presence or absence of plants, and variability in soil parameters such as pH and organic carbon (OC), may have contributed to the inconsistent results. To identify trends in the literature, we conducted a meta-analysis using linear mixed-effect and boosted regression tree models. Moderator variables included glyphosate concentration, soil pH, OC, planted or un-planted soils, field or pot experiments and time after glyphosate application. Glyphosate application, as well as moderator variables (pH, glyphosate concentration, OC and time after application) significantly affected microbial biomass and its activity. Increases in glyphosate and OC concentrations led to transitory enhancement (less than 60 days) of SMR and SMB, while respiration tended to be reduced after 60 days. Notably, field application rates (i.e. &lt;10 mg kg-1) had no significant effect on SMR or SMB, but SMB was significantly lower at glyphosate concentrations of 10-100 mg kg-1. Ultimately, the fact that management and environmental factors regulated the soil microbial response means that generalisations about the toxicity or safety of glyphosate to SMR and SMB should be qualified with details of the conditions under which glyphosate is applied.","author":[{"dropping-particle":"","family":"Nguyen","given":"Duy B.","non-dropping-particle":"","parse-names":false,"suffix":""},{"dropping-particle":"","family":"Rose","given":"Michael T.","non-dropping-particle":"","parse-names":false,"suffix":""},{"dropping-particle":"","family":"Rose","given":"Terry J.","non-dropping-particle":"","parse-names":false,"suffix":""},{"dropping-particle":"","family":"Morris","given":"Stephen G.","non-dropping-particle":"","parse-names":false,"suffix":""},{"dropping-particle":"","family":"Zwieten","given":"Lukas","non-dropping-particle":"van","parse-names":false,"suffix":""}],"container-title":"Soil Biology and Biochemistry","id":"ITEM-1","issued":{"date-parts":[["2016"]]},"page":"50-57","publisher":"Elsevier Ltd","title":"Impact of glyphosate on soil microbial biomass and respiration: A meta-analysis","type":"article-journal","volume":"92"},"uris":["http://www.mendeley.com/documents/?uuid=a6e2c827-3414-4c11-9d5c-18ab0cdbd710"]},{"id":"ITEM-2","itemData":{"DOI":"10.1007/s10886-009-9735-0","ISBN":"0098-0331","ISSN":"0098-0331","PMID":"20077127","abstract":"Invasive plants have a multitude of impacts on plant communities through their direct and indirect effects on soil chemistry and ecosystem function. For example, plants modify the soil environment through root exudates that affect soil structure, and mobilize and/or chelate nutrients. The long-term impact of litter and root exudates can modify soil nutrient pools, and there is evidence that invasive plant species may alter nutrient cycles differently from native species. The effects of plants on ecosystem biogeochemistry may be caused by differences in leaf tissue nutrient stoichiometry or secondary metabolites, although evidence for the importance of allelochemicals in driving these processes is lacking. Some invasive species may gain a competitive advantage through the release of compounds or combinations of compounds that are unique to the invaded community-the \"novel weapons hypothesis.\" Invasive plants also can exert profound impact on plant communities indirectly through the herbicides used to control them. Glyphosate, the most widely used herbicide in the world, often is used to help control invasive weeds, and generally is considered to have minimal environmental impacts. Most studies show little to no effect of glyphosate and other herbicides on soil microbial communities. However, herbicide applications can reduce or promote rhizobium nodulation and mycorrhiza formation. Herbicide drift can affect the growth of non-target plants, and glyphosate and other herbicides can impact significantly the secondary chemistry of plants at sublethal doses. In summary, the literature indicates that invasive species can alter the biogeochemistry of ecosystems, that secondary metabolites released by invasive species may play important roles in soil chemistry as well as plant-plant and plant-microbe interactions, and that the herbicides used to control invasive species can impact plant chemistry and ecosystems in ways that have yet to be fully explored.","author":[{"dropping-particle":"","family":"Weidenhamer","given":"Jeffrey D.","non-dropping-particle":"","parse-names":false,"suffix":""},{"dropping-particle":"","family":"Callaway","given":"Ragan M.","non-dropping-particle":"","parse-names":false,"suffix":""}],"container-title":"Journal of Chemical Ecology","id":"ITEM-2","issue":"1","issued":{"date-parts":[["2010"]]},"note":"From Duplicate 2 (Direct and Indirect Effects of Invasive Plants on Soil Chemistry and Ecosystem Function - Weidenhamer, Jeffrey D; Callaway, Ragan M)\n\n153","page":"59-69","title":"Direct and Indirect Effects of Invasive Plants on Soil Chemistry and Ecosystem Function","type":"article-journal","volume":"36"},"uris":["http://www.mendeley.com/documents/?uuid=46c49909-054e-4074-b79c-32a737687ec4"]},{"id":"ITEM-3","itemData":{"DOI":"10.1016/bs.agron.2015.11.005","ISBN":"9780128046814","ISSN":"00652113","abstract":"There is a growing awareness among farmers about the importance of soil for sustaining crop production and providing beneficial ecosystem services. Over the last 2 decades, global herbicide use has increased as farmers have shifted to more sustainable conservation tillage practices and have adopted herbicide-tolerant crop cultivars. The implications of increased herbicide use for soil biology are being questioned, but a comprehensive review on this topic is lacking. In this chapter we outline the chemistry and use of the major herbicide classes, and review the soil functions relevant to crop production. We then collate and critically evaluate the evidence for herbicide effects on soil biota and activity. In general, most studies suggest that the impacts of herbicide application on soil function are only minor and/or temporary. However, there are some instances where findings consistently suggest effects that could significantly alter soil function. These include disruptions to earthworm ecology in soils exposed to glyphosate and atrazine; inhibition of soil N-cycling (including biological N2-fixation, mineralization and nitrification) by sulfonylurea herbicides in alkaline or low organic matter soils; and site-specific increases in disease resulting from the application of a variety of herbicides. Issues with extrapolating these findings to broadacre farming include the lack of a consistent framework for assessing herbicide risk to soil biology, the relevance of the magnitude of herbicide impacts compared with the impacts of other soil management practices such as tillage or crop rotation, the complexity of herbicide formulations and mixtures, and the limited number of long-term field studies. © 2016.","author":[{"dropping-particle":"","family":"Rose","given":"Michael T.","non-dropping-particle":"","parse-names":false,"suffix":""},{"dropping-particle":"","family":"Cavagnaro","given":"Timothy R.","non-dropping-particle":"","parse-names":false,"suffix":""},{"dropping-particle":"","family":"Scanlan","given":"Craig A.","non-dropping-particle":"","parse-names":false,"suffix":""},{"dropping-particle":"","family":"Rose","given":"Terry J.","non-dropping-particle":"","parse-names":false,"suffix":""},{"dropping-particle":"","family":"Vancov","given":"Tony","non-dropping-particle":"","parse-names":false,"suffix":""},{"dropping-particle":"","family":"Kimber","given":"Stephen","non-dropping-particle":"","parse-names":false,"suffix":""},{"dropping-particle":"","family":"Kennedy","given":"Ivan R.","non-dropping-particle":"","parse-names":false,"suffix":""},{"dropping-particle":"","family":"Kookana","given":"Rai S.","non-dropping-particle":"","parse-names":false,"suffix":""},{"dropping-particle":"","family":"Zwieten","given":"Lukas","non-dropping-particle":"Van","parse-names":false,"suffix":""}],"container-title":"Advances in Agronomy","id":"ITEM-3","issued":{"date-parts":[["2016"]]},"number-of-pages":"133-220","publisher":"Elsevier Inc.","title":"Impact of Herbicides on Soil Biology and Function","type":"book","volume":"136"},"uris":["http://www.mendeley.com/documents/?uuid=ac62daf4-810b-4a1f-ac72-9f2d93b21b0b"]}],"mendeley":{"formattedCitation":"(2, 5, 19)","plainTextFormattedCitation":"(2, 5, 19)","previouslyFormattedCitation":"(2, 5, 19)"},"properties":{"noteIndex":0},"schema":"https://github.com/citation-style-language/schema/raw/master/csl-citation.json"}</w:instrText>
      </w:r>
      <w:r>
        <w:rPr>
          <w:rFonts w:ascii="Times New Roman" w:hAnsi="Times New Roman" w:cs="Times New Roman"/>
          <w:color w:val="000000" w:themeColor="text1"/>
        </w:rPr>
        <w:fldChar w:fldCharType="separate"/>
      </w:r>
      <w:r w:rsidRPr="00E800A0">
        <w:rPr>
          <w:rFonts w:ascii="Times New Roman" w:hAnsi="Times New Roman" w:cs="Times New Roman"/>
          <w:noProof/>
          <w:color w:val="000000" w:themeColor="text1"/>
        </w:rPr>
        <w:t>(2, 5, 19)</w:t>
      </w:r>
      <w:r>
        <w:rPr>
          <w:rFonts w:ascii="Times New Roman" w:hAnsi="Times New Roman" w:cs="Times New Roman"/>
          <w:color w:val="000000" w:themeColor="text1"/>
        </w:rPr>
        <w:fldChar w:fldCharType="end"/>
      </w:r>
      <w:r>
        <w:rPr>
          <w:rFonts w:ascii="Times New Roman" w:hAnsi="Times New Roman" w:cs="Times New Roman"/>
          <w:color w:val="000000" w:themeColor="text1"/>
        </w:rPr>
        <w:t>. Further complicating efforts to accurately model the influence of chemical intervention is the fact that herbicides have the potential to indirectly affect the soil microbiome through changes to vegetation and subsequent shifts in the patterns of root exudation</w:t>
      </w:r>
      <w:r>
        <w:rPr>
          <w:rFonts w:ascii="Times New Roman" w:eastAsia="Times New Roman" w:hAnsi="Times New Roman" w:cs="Times New Roman"/>
          <w:color w:val="222222"/>
        </w:rPr>
        <w:t xml:space="preserve"> </w:t>
      </w:r>
      <w:r w:rsidRPr="00B3074D">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DOI":"10.1002/eap.1613","ISSN":"19395582","author":[{"dropping-particle":"","family":"Lekberg","given":"Ylva","non-dropping-particle":"","parse-names":false,"suffix":""},{"dropping-particle":"","family":"Wagner","given":"Viktoria","non-dropping-particle":"","parse-names":false,"suffix":""},{"dropping-particle":"","family":"Rummel","given":"Alexii","non-dropping-particle":"","parse-names":false,"suffix":""},{"dropping-particle":"","family":"McLeod","given":"Morgan","non-dropping-particle":"","parse-names":false,"suffix":""},{"dropping-particle":"","family":"Ramsey","given":"Philip W.","non-dropping-particle":"","parse-names":false,"suffix":""}],"container-title":"Ecological Applications","id":"ITEM-1","issued":{"date-parts":[["2017"]]},"title":"Strong indirect herbicide effects on mycorrhizal associations through plant community shifts and secondary invasions","type":"article-journal"},"uris":["http://www.mendeley.com/documents/?uuid=0b10cb65-d0f0-3f31-b798-541e3a5c7a7a"]}],"mendeley":{"formattedCitation":"(20)","plainTextFormattedCitation":"(20)","previouslyFormattedCitation":"(20)"},"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B92C04">
        <w:rPr>
          <w:rFonts w:ascii="Times New Roman" w:hAnsi="Times New Roman" w:cs="Times New Roman"/>
          <w:noProof/>
          <w:color w:val="000000" w:themeColor="text1"/>
        </w:rPr>
        <w:t>(20)</w:t>
      </w:r>
      <w:r w:rsidRPr="00B3074D">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To better understand the short-term effects chemical herbicide application has on the soil microbiome, we compared three herbicides, with unique modes of action, alongside hand weeded and non-treated control plots, allowing for the direct and indirect effects of herbicide application to be assessed. With each chemical herbicide acting on a unique mode of action (Table 1), we hypothesized that each would elicit a unique response in microbial function and microbiome structure </w:t>
      </w:r>
      <w:r w:rsidRPr="00B3074D">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{"citationItems":[{"id":"ITEM-1","itemData":{"DOI":"10.1016/bs.agron.2015.11.005","ISBN":"9780128046814","ISSN":"00652113","abstract":"There is a growing awareness among farmers about the importance of soil for sustaining crop production and providing beneficial ecosystem services. Over the last 2 decades, global herbicide use has increased as farmers have shifted to more sustainable conservation tillage practices and have adopted herbicide-tolerant crop cultivars. The implications of increased herbicide use for soil biology are being questioned, but a comprehensive review on this topic is lacking. In this chapter we outline the chemistry and use of the major herbicide classes, and review the soil functions relevant to crop production. We then collate and critically evaluate the evidence for herbicide effects on soil biota and activity. In general, most studies suggest that the impacts of herbicide application on soil function are only minor and/or temporary. However, there are some instances where findings consistently suggest effects that could significantly alter soil function. These include disruptions to earthworm ecology in soils exposed to glyphosate and atrazine; inhibition of soil N-cycling (including biological N2-fixation, mineralization and nitrification) by sulfonylurea herbicides in alkaline or low organic matter soils; and site-specific increases in disease resulting from the application of a variety of herbicides. Issues with extrapolating these findings to broadacre farming include the lack of a consistent framework for assessing herbicide risk to soil biology, the relevance of the magnitude of herbicide impacts compared with the impacts of other soil management practices such as tillage or crop rotation, the complexity of herbicide formulations and mixtures, and the limited number of long-term field studies. © 2016.","author":[{"dropping-particle":"","family":"Rose","given":"Michael T.","non-dropping-particle":"","parse-names":false,"suffix":""},{"dropping-particle":"","family":"Cavagnaro","given":"Timothy R.","non-dropping-particle":"","parse-names":false,"suffix":""},{"dropping-particle":"","family":"Scanlan","given":"Craig A.","non-dropping-particle":"","parse-names":false,"suffix":""},{"dropping-particle":"","family":"Rose","given":"Terry J.","non-dropping-particle":"","parse-names":false,"suffix":""},{"dropping-particle":"","family":"Vancov","given":"Tony","non-dropping-particle":"","parse-names":false,"suffix":""},{"dropping-particle":"","family":"Kimber","given":"Stephen","non-dropping-particle":"","parse-names":false,"suffix":""},{"dropping-particle":"","family":"Kennedy","given":"Ivan R.","non-dropping-particle":"","parse-names":false,"suffix":""},{"dropping-particle":"","family":"Kookana","given":"Rai S.","non-dropping-particle":"","parse-names":false,"suffix":""},{"dropping-particle":"","family":"Zwieten","given":"Lukas","non-dropping-particle":"Van","parse-names":false,"suffix":""}],"container-title":"Advances in Agronomy","id":"ITEM-1","issued":{"date-parts":[["2016"]]},"number-of-pages":"133-220","publisher":"Elsevier Inc.","title":"Impact of Herbicides on Soil Biology and Function","type":"book","volume":"136"},"uris":["http://www.mendeley.com/documents/?uuid=ac62daf4-810b-4a1f-ac72-9f2d93b21b0b"]}],"mendeley":{"formattedCitation":"(2)","plainTextFormattedCitation":"(2)","previouslyFormattedCitation":"(2)"},"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B92C04">
        <w:rPr>
          <w:rFonts w:ascii="Times New Roman" w:hAnsi="Times New Roman" w:cs="Times New Roman"/>
          <w:noProof/>
          <w:color w:val="000000" w:themeColor="text1"/>
        </w:rPr>
        <w:t>(2)</w:t>
      </w:r>
      <w:r w:rsidRPr="00B3074D">
        <w:rPr>
          <w:rFonts w:ascii="Times New Roman" w:hAnsi="Times New Roman" w:cs="Times New Roman"/>
          <w:color w:val="000000" w:themeColor="text1"/>
        </w:rPr>
        <w:fldChar w:fldCharType="end"/>
      </w:r>
      <w:r>
        <w:rPr>
          <w:rFonts w:ascii="Times New Roman" w:hAnsi="Times New Roman" w:cs="Times New Roman"/>
          <w:color w:val="000000" w:themeColor="text1"/>
        </w:rPr>
        <w:t>. Specifically, we hypothesized that the atrazine-</w:t>
      </w:r>
      <w:proofErr w:type="spellStart"/>
      <w:r>
        <w:rPr>
          <w:rFonts w:ascii="Times New Roman" w:hAnsi="Times New Roman" w:cs="Times New Roman"/>
          <w:color w:val="000000" w:themeColor="text1"/>
        </w:rPr>
        <w:t>mesotrione</w:t>
      </w:r>
      <w:proofErr w:type="spellEnd"/>
      <w:r>
        <w:rPr>
          <w:rFonts w:ascii="Times New Roman" w:hAnsi="Times New Roman" w:cs="Times New Roman"/>
          <w:color w:val="000000" w:themeColor="text1"/>
        </w:rPr>
        <w:t xml:space="preserve"> treated plots would affect nitrogen (N) cycling microbes </w:t>
      </w:r>
      <w:r w:rsidRPr="00B3074D">
        <w:rPr>
          <w:rFonts w:ascii="Times New Roman" w:hAnsi="Times New Roman" w:cs="Times New Roman"/>
        </w:rPr>
        <w:fldChar w:fldCharType="begin" w:fldLock="1"/>
      </w:r>
      <w:r w:rsidR="00A27C6C">
        <w:rPr>
          <w:rFonts w:ascii="Times New Roman" w:hAnsi="Times New Roman" w:cs="Times New Roman"/>
        </w:rPr>
        <w:instrText>ADDIN CSL_CITATION {"citationItems":[{"id":"ITEM-1","itemData":{"DOI":"10.1111/j.1574-6941.2011.01180.x","ISSN":"01686496","author":[{"dropping-particle":"","family":"Hernández","given":"Marcela","non-dropping-particle":"","parse-names":false,"suffix":""},{"dropping-particle":"","family":"Jia","given":"Zhongjun","non-dropping-particle":"","parse-names":false,"suffix":""},{"dropping-particle":"","family":"Conrad","given":"Ralf","non-dropping-particle":"","parse-names":false,"suffix":""},{"dropping-particle":"","family":"Seeger","given":"Michael","non-dropping-particle":"","parse-names":false,"suffix":""}],"container-title":"FEMS Microbiology Ecology","id":"ITEM-1","issue":"3","issued":{"date-parts":[["2011","12"]]},"page":"511-519","title":"Simazine application inhibits nitrification and changes the ammonia-oxidizing bacterial communities in a fertilized agricultural soil","type":"article-journal","volume":"78"},"uris":["http://www.mendeley.com/documents/?uuid=4ef583de-3680-4df6-b680-5c5b50ce018c"]}],"mendeley":{"formattedCitation":"(21)","plainTextFormattedCitation":"(21)","previouslyFormattedCitation":"(21)"},"properties":{"noteIndex":0},"schema":"https://github.com/citation-style-language/schema/raw/master/csl-citation.json"}</w:instrText>
      </w:r>
      <w:r w:rsidRPr="00B3074D">
        <w:rPr>
          <w:rFonts w:ascii="Times New Roman" w:hAnsi="Times New Roman" w:cs="Times New Roman"/>
        </w:rPr>
        <w:fldChar w:fldCharType="separate"/>
      </w:r>
      <w:r w:rsidRPr="00E800A0">
        <w:rPr>
          <w:rFonts w:ascii="Times New Roman" w:hAnsi="Times New Roman" w:cs="Times New Roman"/>
          <w:noProof/>
        </w:rPr>
        <w:t>(21)</w:t>
      </w:r>
      <w:r w:rsidRPr="00B3074D">
        <w:rPr>
          <w:rFonts w:ascii="Times New Roman" w:hAnsi="Times New Roman" w:cs="Times New Roman"/>
        </w:rPr>
        <w:fldChar w:fldCharType="end"/>
      </w:r>
      <w:r>
        <w:rPr>
          <w:rFonts w:ascii="Times New Roman" w:hAnsi="Times New Roman" w:cs="Times New Roman"/>
        </w:rPr>
        <w:t xml:space="preserve"> and result in significant shifts in N-pools and N-associated enzymes. Additionally, we expected glyphosate and dicamba containing herbicides to affect the soil microbiome through disruption of amino acid synthesis pathways present in both microbes and plants. </w:t>
      </w:r>
    </w:p>
    <w:p w14:paraId="340F23AD" w14:textId="77777777" w:rsidR="00E800A0" w:rsidRPr="00E800A0" w:rsidRDefault="00E800A0" w:rsidP="00E800A0">
      <w:pPr>
        <w:shd w:val="clear" w:color="auto" w:fill="FFFFFF"/>
        <w:spacing w:before="100" w:beforeAutospacing="1" w:after="100" w:afterAutospacing="1"/>
        <w:ind w:left="360"/>
        <w:jc w:val="both"/>
        <w:rPr>
          <w:rFonts w:ascii="Times New Roman" w:eastAsia="Times New Roman" w:hAnsi="Times New Roman" w:cs="Times New Roman"/>
          <w:color w:val="222222"/>
        </w:rPr>
      </w:pPr>
    </w:p>
    <w:p w14:paraId="1B445550" w14:textId="61424DC3" w:rsidR="00E800A0" w:rsidRDefault="00E800A0" w:rsidP="00E800A0">
      <w:pPr>
        <w:shd w:val="clear" w:color="auto" w:fill="FFFFFF"/>
        <w:spacing w:before="100" w:beforeAutospacing="1" w:after="100" w:afterAutospacing="1"/>
        <w:jc w:val="both"/>
        <w:rPr>
          <w:rFonts w:ascii="Times New Roman" w:eastAsia="Times New Roman" w:hAnsi="Times New Roman" w:cs="Times New Roman"/>
          <w:b/>
          <w:bCs/>
          <w:color w:val="222222"/>
        </w:rPr>
      </w:pPr>
      <w:r w:rsidRPr="00E800A0">
        <w:rPr>
          <w:rFonts w:ascii="Times New Roman" w:eastAsia="Times New Roman" w:hAnsi="Times New Roman" w:cs="Times New Roman"/>
          <w:b/>
          <w:bCs/>
          <w:color w:val="222222"/>
        </w:rPr>
        <w:t>Results (with subheadings)</w:t>
      </w:r>
    </w:p>
    <w:p w14:paraId="47AE2887" w14:textId="77777777" w:rsidR="00E800A0" w:rsidRPr="00E800A0" w:rsidRDefault="00E800A0" w:rsidP="00E800A0">
      <w:pPr>
        <w:shd w:val="clear" w:color="auto" w:fill="FFFFFF"/>
        <w:spacing w:before="100" w:beforeAutospacing="1" w:after="100" w:afterAutospacing="1"/>
        <w:ind w:left="360"/>
        <w:jc w:val="both"/>
        <w:rPr>
          <w:rFonts w:ascii="Times New Roman" w:eastAsia="Times New Roman" w:hAnsi="Times New Roman" w:cs="Times New Roman"/>
          <w:color w:val="222222"/>
        </w:rPr>
      </w:pPr>
    </w:p>
    <w:p w14:paraId="2789B043" w14:textId="7F559217" w:rsidR="00E800A0" w:rsidRDefault="00E800A0" w:rsidP="00E800A0">
      <w:pPr>
        <w:shd w:val="clear" w:color="auto" w:fill="FFFFFF"/>
        <w:spacing w:before="100" w:beforeAutospacing="1" w:after="100" w:afterAutospacing="1"/>
        <w:jc w:val="both"/>
        <w:rPr>
          <w:rFonts w:ascii="Times New Roman" w:eastAsia="Times New Roman" w:hAnsi="Times New Roman" w:cs="Times New Roman"/>
          <w:b/>
          <w:bCs/>
          <w:color w:val="222222"/>
        </w:rPr>
      </w:pPr>
      <w:r w:rsidRPr="00E800A0">
        <w:rPr>
          <w:rFonts w:ascii="Times New Roman" w:eastAsia="Times New Roman" w:hAnsi="Times New Roman" w:cs="Times New Roman"/>
          <w:b/>
          <w:bCs/>
          <w:color w:val="222222"/>
        </w:rPr>
        <w:t>Discussion (without subheadings)</w:t>
      </w:r>
    </w:p>
    <w:p w14:paraId="10D26E66" w14:textId="77777777" w:rsidR="00E800A0" w:rsidRPr="00E800A0" w:rsidRDefault="00E800A0" w:rsidP="00E800A0">
      <w:pPr>
        <w:shd w:val="clear" w:color="auto" w:fill="FFFFFF"/>
        <w:spacing w:before="100" w:beforeAutospacing="1" w:after="100" w:afterAutospacing="1"/>
        <w:jc w:val="both"/>
        <w:rPr>
          <w:rFonts w:ascii="Times New Roman" w:eastAsia="Times New Roman" w:hAnsi="Times New Roman" w:cs="Times New Roman"/>
          <w:color w:val="222222"/>
        </w:rPr>
      </w:pPr>
    </w:p>
    <w:p w14:paraId="683BB7C7" w14:textId="73E20436" w:rsidR="00E800A0" w:rsidRDefault="00E800A0" w:rsidP="00E800A0">
      <w:pPr>
        <w:shd w:val="clear" w:color="auto" w:fill="FFFFFF"/>
        <w:spacing w:before="100" w:beforeAutospacing="1" w:after="100" w:afterAutospacing="1"/>
        <w:jc w:val="both"/>
        <w:rPr>
          <w:rFonts w:ascii="Times New Roman" w:eastAsia="Times New Roman" w:hAnsi="Times New Roman" w:cs="Times New Roman"/>
          <w:b/>
          <w:bCs/>
          <w:color w:val="222222"/>
        </w:rPr>
      </w:pPr>
      <w:r w:rsidRPr="00E800A0">
        <w:rPr>
          <w:rFonts w:ascii="Times New Roman" w:eastAsia="Times New Roman" w:hAnsi="Times New Roman" w:cs="Times New Roman"/>
          <w:b/>
          <w:bCs/>
          <w:color w:val="222222"/>
        </w:rPr>
        <w:t>Methods</w:t>
      </w:r>
    </w:p>
    <w:p w14:paraId="07A485C9" w14:textId="77777777" w:rsidR="00E800A0" w:rsidRDefault="00E800A0" w:rsidP="00E800A0">
      <w:pPr>
        <w:rPr>
          <w:rFonts w:ascii="Times New Roman" w:hAnsi="Times New Roman" w:cs="Times New Roman"/>
          <w:i/>
          <w:iCs/>
          <w:color w:val="000000" w:themeColor="text1"/>
        </w:rPr>
      </w:pPr>
      <w:r>
        <w:rPr>
          <w:rFonts w:ascii="Times New Roman" w:hAnsi="Times New Roman" w:cs="Times New Roman"/>
          <w:i/>
          <w:iCs/>
          <w:color w:val="000000" w:themeColor="text1"/>
        </w:rPr>
        <w:t>Site description and</w:t>
      </w:r>
      <w:r w:rsidRPr="00B3074D">
        <w:rPr>
          <w:rFonts w:ascii="Times New Roman" w:hAnsi="Times New Roman" w:cs="Times New Roman"/>
          <w:i/>
          <w:iCs/>
          <w:color w:val="000000" w:themeColor="text1"/>
        </w:rPr>
        <w:t xml:space="preserve"> experimental design</w:t>
      </w:r>
    </w:p>
    <w:p w14:paraId="14D1DEAC" w14:textId="52B7E435" w:rsidR="00E800A0" w:rsidRPr="00B3074D" w:rsidRDefault="00E800A0" w:rsidP="00E800A0">
      <w:pPr>
        <w:rPr>
          <w:rFonts w:ascii="Times New Roman" w:hAnsi="Times New Roman" w:cs="Times New Roman"/>
        </w:rPr>
      </w:pPr>
      <w:r w:rsidRPr="00B3074D">
        <w:rPr>
          <w:rFonts w:ascii="Times New Roman" w:hAnsi="Times New Roman" w:cs="Times New Roman"/>
          <w:color w:val="000000" w:themeColor="text1"/>
          <w:shd w:val="clear" w:color="auto" w:fill="FFFFFF"/>
        </w:rPr>
        <w:t xml:space="preserve">In the summer of 2018, 20 experimental plots </w:t>
      </w:r>
      <w:r>
        <w:rPr>
          <w:rFonts w:ascii="Times New Roman" w:hAnsi="Times New Roman" w:cs="Times New Roman"/>
          <w:color w:val="000000" w:themeColor="text1"/>
          <w:shd w:val="clear" w:color="auto" w:fill="FFFFFF"/>
        </w:rPr>
        <w:t xml:space="preserve">were established </w:t>
      </w:r>
      <w:r w:rsidRPr="00B3074D">
        <w:rPr>
          <w:rFonts w:ascii="Times New Roman" w:hAnsi="Times New Roman" w:cs="Times New Roman"/>
          <w:color w:val="000000" w:themeColor="text1"/>
          <w:shd w:val="clear" w:color="auto" w:fill="FFFFFF"/>
        </w:rPr>
        <w:t xml:space="preserve">at the Sustainable Agriculture Research and Extension Center (SAREC) in </w:t>
      </w:r>
      <w:proofErr w:type="spellStart"/>
      <w:r w:rsidRPr="00B3074D">
        <w:rPr>
          <w:rFonts w:ascii="Times New Roman" w:hAnsi="Times New Roman" w:cs="Times New Roman"/>
          <w:color w:val="000000" w:themeColor="text1"/>
          <w:shd w:val="clear" w:color="auto" w:fill="FFFFFF"/>
        </w:rPr>
        <w:t>Lingle</w:t>
      </w:r>
      <w:proofErr w:type="spellEnd"/>
      <w:r w:rsidRPr="00B3074D">
        <w:rPr>
          <w:rFonts w:ascii="Times New Roman" w:hAnsi="Times New Roman" w:cs="Times New Roman"/>
          <w:color w:val="000000" w:themeColor="text1"/>
          <w:shd w:val="clear" w:color="auto" w:fill="FFFFFF"/>
        </w:rPr>
        <w:t>, WY (</w:t>
      </w:r>
      <w:r w:rsidRPr="00B3074D">
        <w:rPr>
          <w:rFonts w:ascii="Times New Roman" w:hAnsi="Times New Roman" w:cs="Times New Roman"/>
          <w:color w:val="000000" w:themeColor="text1"/>
          <w:spacing w:val="-3"/>
        </w:rPr>
        <w:t>MAT 8.4</w:t>
      </w:r>
      <w:r w:rsidRPr="00B3074D">
        <w:rPr>
          <w:rFonts w:ascii="Times New Roman" w:hAnsi="Times New Roman" w:cs="Times New Roman"/>
          <w:color w:val="000000" w:themeColor="text1"/>
          <w:spacing w:val="-3"/>
        </w:rPr>
        <w:sym w:font="Symbol" w:char="F0B0"/>
      </w:r>
      <w:r w:rsidRPr="00B3074D">
        <w:rPr>
          <w:rFonts w:ascii="Times New Roman" w:hAnsi="Times New Roman" w:cs="Times New Roman"/>
          <w:color w:val="000000" w:themeColor="text1"/>
          <w:spacing w:val="-3"/>
        </w:rPr>
        <w:t xml:space="preserve"> C)</w:t>
      </w:r>
      <w:r>
        <w:rPr>
          <w:rFonts w:ascii="Times New Roman" w:hAnsi="Times New Roman" w:cs="Times New Roman"/>
          <w:color w:val="000000" w:themeColor="text1"/>
          <w:shd w:val="clear" w:color="auto" w:fill="FFFFFF"/>
        </w:rPr>
        <w:t xml:space="preserve">. Plots were fertilized </w:t>
      </w:r>
      <w:r w:rsidRPr="00B3074D">
        <w:rPr>
          <w:rFonts w:ascii="Times New Roman" w:hAnsi="Times New Roman" w:cs="Times New Roman"/>
          <w:color w:val="000000" w:themeColor="text1"/>
          <w:spacing w:val="-3"/>
        </w:rPr>
        <w:t xml:space="preserve">using a dry fertilizer prior to corn planting </w:t>
      </w:r>
      <w:r>
        <w:rPr>
          <w:rFonts w:ascii="Times New Roman" w:hAnsi="Times New Roman" w:cs="Times New Roman"/>
          <w:color w:val="000000" w:themeColor="text1"/>
          <w:spacing w:val="-3"/>
        </w:rPr>
        <w:t>in accordance with</w:t>
      </w:r>
      <w:r w:rsidRPr="00B3074D">
        <w:rPr>
          <w:rFonts w:ascii="Times New Roman" w:hAnsi="Times New Roman" w:cs="Times New Roman"/>
          <w:color w:val="000000" w:themeColor="text1"/>
          <w:spacing w:val="-3"/>
        </w:rPr>
        <w:t xml:space="preserve"> best </w:t>
      </w:r>
      <w:r>
        <w:rPr>
          <w:rFonts w:ascii="Times New Roman" w:hAnsi="Times New Roman" w:cs="Times New Roman"/>
          <w:color w:val="000000" w:themeColor="text1"/>
          <w:spacing w:val="-3"/>
        </w:rPr>
        <w:t xml:space="preserve">farming </w:t>
      </w:r>
      <w:r w:rsidRPr="00B3074D">
        <w:rPr>
          <w:rFonts w:ascii="Times New Roman" w:hAnsi="Times New Roman" w:cs="Times New Roman"/>
          <w:color w:val="000000" w:themeColor="text1"/>
          <w:spacing w:val="-3"/>
        </w:rPr>
        <w:t xml:space="preserve">practices (40 rock fertilizer- </w:t>
      </w:r>
      <w:r w:rsidRPr="00B3074D">
        <w:rPr>
          <w:rFonts w:ascii="Times New Roman" w:hAnsi="Times New Roman" w:cs="Times New Roman"/>
          <w:color w:val="000000"/>
        </w:rPr>
        <w:t>125Nitrogen-35Phosphorus-0Potassium-35Elemental Sulfur-13Sulfate-2Zinc blend</w:t>
      </w:r>
      <w:r w:rsidRPr="00B3074D">
        <w:rPr>
          <w:rFonts w:ascii="Times New Roman" w:hAnsi="Times New Roman" w:cs="Times New Roman"/>
        </w:rPr>
        <w:t xml:space="preserve"> -</w:t>
      </w:r>
      <w:r w:rsidRPr="00B3074D">
        <w:rPr>
          <w:rFonts w:ascii="Times New Roman" w:hAnsi="Times New Roman" w:cs="Times New Roman"/>
          <w:color w:val="000000" w:themeColor="text1"/>
          <w:spacing w:val="-3"/>
        </w:rPr>
        <w:t>J.R. Simplot Company, Boise, ID)</w:t>
      </w:r>
      <w:r>
        <w:rPr>
          <w:rFonts w:ascii="Times New Roman" w:hAnsi="Times New Roman" w:cs="Times New Roman"/>
          <w:color w:val="000000" w:themeColor="text1"/>
          <w:spacing w:val="-3"/>
        </w:rPr>
        <w:t xml:space="preserve">. Plots were then </w:t>
      </w:r>
      <w:r w:rsidRPr="00B3074D">
        <w:rPr>
          <w:rFonts w:ascii="Times New Roman" w:hAnsi="Times New Roman" w:cs="Times New Roman"/>
          <w:color w:val="000000" w:themeColor="text1"/>
          <w:shd w:val="clear" w:color="auto" w:fill="FFFFFF"/>
        </w:rPr>
        <w:t xml:space="preserve">planted with </w:t>
      </w:r>
      <w:proofErr w:type="spellStart"/>
      <w:r w:rsidRPr="00B3074D">
        <w:rPr>
          <w:rFonts w:ascii="Times New Roman" w:hAnsi="Times New Roman" w:cs="Times New Roman"/>
          <w:i/>
          <w:color w:val="000000" w:themeColor="text1"/>
          <w:shd w:val="clear" w:color="auto" w:fill="FFFFFF"/>
        </w:rPr>
        <w:t>Zea</w:t>
      </w:r>
      <w:proofErr w:type="spellEnd"/>
      <w:r w:rsidRPr="00B3074D">
        <w:rPr>
          <w:rFonts w:ascii="Times New Roman" w:hAnsi="Times New Roman" w:cs="Times New Roman"/>
          <w:i/>
          <w:color w:val="000000" w:themeColor="text1"/>
          <w:shd w:val="clear" w:color="auto" w:fill="FFFFFF"/>
        </w:rPr>
        <w:t xml:space="preserve"> mays</w:t>
      </w:r>
      <w:r w:rsidRPr="00B3074D">
        <w:rPr>
          <w:rFonts w:ascii="Times New Roman" w:hAnsi="Times New Roman" w:cs="Times New Roman"/>
          <w:color w:val="000000" w:themeColor="text1"/>
          <w:shd w:val="clear" w:color="auto" w:fill="FFFFFF"/>
        </w:rPr>
        <w:t xml:space="preserve"> variety ‘P9188AMX’ at 34,000 seeds per acre</w:t>
      </w:r>
      <w:r>
        <w:rPr>
          <w:rFonts w:ascii="Times New Roman" w:hAnsi="Times New Roman" w:cs="Times New Roman"/>
          <w:color w:val="000000" w:themeColor="text1"/>
          <w:spacing w:val="-3"/>
        </w:rPr>
        <w:t xml:space="preserve"> and irrigated using a lateral pivot system every three – five days. </w:t>
      </w:r>
      <w:r w:rsidRPr="00B3074D">
        <w:rPr>
          <w:rFonts w:ascii="Times New Roman" w:hAnsi="Times New Roman" w:cs="Times New Roman"/>
          <w:color w:val="000000" w:themeColor="text1"/>
        </w:rPr>
        <w:t>The soil at this site has an alkaline pH (~ 8) with CaCO</w:t>
      </w:r>
      <w:r w:rsidRPr="00B3074D">
        <w:rPr>
          <w:rFonts w:ascii="Times New Roman" w:hAnsi="Times New Roman" w:cs="Times New Roman"/>
          <w:color w:val="000000" w:themeColor="text1"/>
          <w:vertAlign w:val="subscript"/>
        </w:rPr>
        <w:t>3</w:t>
      </w:r>
      <w:r w:rsidRPr="00B3074D">
        <w:rPr>
          <w:rFonts w:ascii="Times New Roman" w:hAnsi="Times New Roman" w:cs="Times New Roman"/>
          <w:color w:val="000000" w:themeColor="text1"/>
        </w:rPr>
        <w:t xml:space="preserve"> content between 1 and 3 %. The soil can be characterized as silty clay loam (27 % - 40 % clay) </w:t>
      </w:r>
      <w:r w:rsidRPr="00B3074D">
        <w:rPr>
          <w:rFonts w:ascii="Times New Roman" w:hAnsi="Times New Roman" w:cs="Times New Roman"/>
          <w:color w:val="000000" w:themeColor="text1"/>
        </w:rPr>
        <w:fldChar w:fldCharType="begin" w:fldLock="1"/>
      </w:r>
      <w:r w:rsidR="00A27C6C">
        <w:rPr>
          <w:rFonts w:ascii="Times New Roman" w:hAnsi="Times New Roman" w:cs="Times New Roman"/>
          <w:color w:val="000000" w:themeColor="text1"/>
        </w:rPr>
        <w:instrText>ADDIN CSL_CITATION {"citationItems":[{"id":"ITEM-1","itemData":{"DOI":"10.1007/s40093-019-00309-4","ISBN":"0123456789","ISSN":"2195-3228","abstract":"Purpose: An 8-week incubation study was conducted to monitor soil inorganic nitrogen (N), dissolved organic carbon (DOC), greenhouse gases (GHG) [CO2, N2O and CH4] and cumulative global warming potential (GWP) in dryland soil. Methods: Soil was amended with variable rates of compost (zero, 15, 30 and 45 dry Mg ha−1) and soil moistures [5% (dry), 7% (normal) and 14% (wet) water filled pore space (WFPS)] and experienced biweekly temperature transitions from 5 °C (late winter) to 10 °C (early spring) to 15 °C (late spring) to 25 °C (early summer). Results: The addition of 30 and 45 Mg ha−1 compost enhanced N mineralization with 13% more soil inorganic N (7.49 and 7.72 µg Ng−1 day−1, respectively) during early summer compared with lower compost rates. Normal and wet soils had 35% more DOC in the late spring (an average of 34 µg g−1 day−1) compared to the dry WFPS, but transitioning from late spring to early summer, DOC at all soil WFPS levels increased. Highest rates of compost were not significant sources of GHG with normal soil WFPS, compared with lower compost rates. Carbon dioxide emissions increased by 59 and 15%, respectively, as soil WFPS increased from dry to normal and normal to wet. Soils with normal WFPS were the most effective CH4 sink. Conclusion: One-time application of high compost rates to dryland soils leads to enhanced N and C mineralization under normal soil moisture and warmer temperature of the summer but will not pose significant global warming dangers to the environment through GHG emissions since soils are rarely wet.","author":[{"dropping-particle":"","family":"Brempong","given":"Mavis Badu","non-dropping-particle":"","parse-names":false,"suffix":""},{"dropping-particle":"","family":"Norton","given":"Urszula","non-dropping-particle":"","parse-names":false,"suffix":""},{"dropping-particle":"","family":"Norton","given":"Jay B.","non-dropping-particle":"","parse-names":false,"suffix":""}],"container-title":"International Journal of Recycling of Organic Waste in Agriculture","id":"ITEM-1","issue":"S1","issued":{"date-parts":[["2019","12","2"]]},"page":"367-376","publisher":"Springer Berlin Heidelberg","title":"Compost and soil moisture effects on seasonal carbon and nitrogen dynamics, greenhouse gas fluxes and global warming potential of semi-arid soils","type":"article-journal","volume":"8"},"uris":["http://www.mendeley.com/documents/?uuid=ecb0712e-e2b8-4c10-9eee-1241eeb32f5f"]}],"mendeley":{"formattedCitation":"(22)","plainTextFormattedCitation":"(22)","previouslyFormattedCitation":"(22)"},"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E800A0">
        <w:rPr>
          <w:rFonts w:ascii="Times New Roman" w:hAnsi="Times New Roman" w:cs="Times New Roman"/>
          <w:noProof/>
          <w:color w:val="000000" w:themeColor="text1"/>
        </w:rPr>
        <w:t>(22)</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and is mapped as a well-drained </w:t>
      </w:r>
      <w:proofErr w:type="spellStart"/>
      <w:r w:rsidRPr="00B3074D">
        <w:rPr>
          <w:rFonts w:ascii="Times New Roman" w:hAnsi="Times New Roman" w:cs="Times New Roman"/>
          <w:color w:val="000000" w:themeColor="text1"/>
        </w:rPr>
        <w:t>Haverson</w:t>
      </w:r>
      <w:proofErr w:type="spellEnd"/>
      <w:r w:rsidRPr="00B3074D">
        <w:rPr>
          <w:rFonts w:ascii="Times New Roman" w:hAnsi="Times New Roman" w:cs="Times New Roman"/>
          <w:color w:val="000000" w:themeColor="text1"/>
        </w:rPr>
        <w:t xml:space="preserve"> and McCook loam (i.e. </w:t>
      </w:r>
      <w:proofErr w:type="spellStart"/>
      <w:r w:rsidRPr="00B3074D">
        <w:rPr>
          <w:rFonts w:ascii="Times New Roman" w:hAnsi="Times New Roman" w:cs="Times New Roman"/>
          <w:color w:val="000000" w:themeColor="text1"/>
        </w:rPr>
        <w:t>HnA</w:t>
      </w:r>
      <w:proofErr w:type="spellEnd"/>
      <w:r w:rsidRPr="00B3074D">
        <w:rPr>
          <w:rFonts w:ascii="Times New Roman" w:hAnsi="Times New Roman" w:cs="Times New Roman"/>
          <w:color w:val="000000" w:themeColor="text1"/>
        </w:rPr>
        <w:t>), 0-3% slope (Web Soil Survey, USDA-NRCS).</w:t>
      </w:r>
      <w:r>
        <w:rPr>
          <w:rFonts w:ascii="Times New Roman" w:hAnsi="Times New Roman" w:cs="Times New Roman"/>
          <w:color w:val="000000" w:themeColor="text1"/>
        </w:rPr>
        <w:t xml:space="preserve"> </w:t>
      </w:r>
      <w:r w:rsidRPr="00B3074D">
        <w:rPr>
          <w:rFonts w:ascii="Times New Roman" w:hAnsi="Times New Roman" w:cs="Times New Roman"/>
          <w:color w:val="000000" w:themeColor="text1"/>
          <w:shd w:val="clear" w:color="auto" w:fill="FFFFFF"/>
        </w:rPr>
        <w:t xml:space="preserve">Each plot, 3 m x 10 m, consisted of five evenly spaced rows of </w:t>
      </w:r>
      <w:proofErr w:type="spellStart"/>
      <w:r w:rsidRPr="00B3074D">
        <w:rPr>
          <w:rFonts w:ascii="Times New Roman" w:hAnsi="Times New Roman" w:cs="Times New Roman"/>
          <w:i/>
          <w:color w:val="000000" w:themeColor="text1"/>
          <w:shd w:val="clear" w:color="auto" w:fill="FFFFFF"/>
        </w:rPr>
        <w:t>Zea</w:t>
      </w:r>
      <w:proofErr w:type="spellEnd"/>
      <w:r w:rsidRPr="00B3074D">
        <w:rPr>
          <w:rFonts w:ascii="Times New Roman" w:hAnsi="Times New Roman" w:cs="Times New Roman"/>
          <w:i/>
          <w:color w:val="000000" w:themeColor="text1"/>
          <w:shd w:val="clear" w:color="auto" w:fill="FFFFFF"/>
        </w:rPr>
        <w:t xml:space="preserve"> mays</w:t>
      </w:r>
      <w:r w:rsidRPr="00B3074D">
        <w:rPr>
          <w:rFonts w:ascii="Times New Roman" w:hAnsi="Times New Roman" w:cs="Times New Roman"/>
          <w:color w:val="000000" w:themeColor="text1"/>
          <w:shd w:val="clear" w:color="auto" w:fill="FFFFFF"/>
        </w:rPr>
        <w:t>. The experimental design included five different treatments with four replicate plots each</w:t>
      </w:r>
      <w:r>
        <w:rPr>
          <w:rFonts w:ascii="Times New Roman" w:hAnsi="Times New Roman" w:cs="Times New Roman"/>
          <w:color w:val="000000" w:themeColor="text1"/>
          <w:shd w:val="clear" w:color="auto" w:fill="FFFFFF"/>
        </w:rPr>
        <w:t>:</w:t>
      </w:r>
      <w:r w:rsidRPr="00B3074D">
        <w:rPr>
          <w:rFonts w:ascii="Times New Roman" w:hAnsi="Times New Roman" w:cs="Times New Roman"/>
          <w:color w:val="000000" w:themeColor="text1"/>
          <w:shd w:val="clear" w:color="auto" w:fill="FFFFFF"/>
        </w:rPr>
        <w:t xml:space="preserve"> a </w:t>
      </w:r>
      <w:r>
        <w:rPr>
          <w:rFonts w:ascii="Times New Roman" w:hAnsi="Times New Roman" w:cs="Times New Roman"/>
          <w:color w:val="000000" w:themeColor="text1"/>
          <w:shd w:val="clear" w:color="auto" w:fill="FFFFFF"/>
        </w:rPr>
        <w:t xml:space="preserve">non-treated </w:t>
      </w:r>
      <w:r w:rsidRPr="00B3074D">
        <w:rPr>
          <w:rFonts w:ascii="Times New Roman" w:hAnsi="Times New Roman" w:cs="Times New Roman"/>
          <w:color w:val="000000" w:themeColor="text1"/>
          <w:shd w:val="clear" w:color="auto" w:fill="FFFFFF"/>
        </w:rPr>
        <w:t>control (</w:t>
      </w:r>
      <w:r>
        <w:rPr>
          <w:rFonts w:ascii="Times New Roman" w:hAnsi="Times New Roman" w:cs="Times New Roman"/>
          <w:color w:val="000000" w:themeColor="text1"/>
          <w:shd w:val="clear" w:color="auto" w:fill="FFFFFF"/>
        </w:rPr>
        <w:t xml:space="preserve">herein referred to as </w:t>
      </w:r>
      <w:r w:rsidRPr="00B3074D">
        <w:rPr>
          <w:rFonts w:ascii="Times New Roman" w:hAnsi="Times New Roman" w:cs="Times New Roman"/>
          <w:color w:val="000000" w:themeColor="text1"/>
          <w:shd w:val="clear" w:color="auto" w:fill="FFFFFF"/>
        </w:rPr>
        <w:t>non</w:t>
      </w:r>
      <w:r>
        <w:rPr>
          <w:rFonts w:ascii="Times New Roman" w:hAnsi="Times New Roman" w:cs="Times New Roman"/>
          <w:color w:val="000000" w:themeColor="text1"/>
          <w:shd w:val="clear" w:color="auto" w:fill="FFFFFF"/>
        </w:rPr>
        <w:t>-</w:t>
      </w:r>
      <w:r w:rsidRPr="00B3074D">
        <w:rPr>
          <w:rFonts w:ascii="Times New Roman" w:hAnsi="Times New Roman" w:cs="Times New Roman"/>
          <w:color w:val="000000" w:themeColor="text1"/>
          <w:shd w:val="clear" w:color="auto" w:fill="FFFFFF"/>
        </w:rPr>
        <w:t xml:space="preserve">treated), </w:t>
      </w:r>
      <w:r>
        <w:rPr>
          <w:rFonts w:ascii="Times New Roman" w:hAnsi="Times New Roman" w:cs="Times New Roman"/>
          <w:color w:val="000000" w:themeColor="text1"/>
          <w:shd w:val="clear" w:color="auto" w:fill="FFFFFF"/>
        </w:rPr>
        <w:t xml:space="preserve">a </w:t>
      </w:r>
      <w:r w:rsidRPr="00B3074D">
        <w:rPr>
          <w:rFonts w:ascii="Times New Roman" w:hAnsi="Times New Roman" w:cs="Times New Roman"/>
          <w:color w:val="000000" w:themeColor="text1"/>
          <w:shd w:val="clear" w:color="auto" w:fill="FFFFFF"/>
        </w:rPr>
        <w:t>hand</w:t>
      </w:r>
      <w:r>
        <w:rPr>
          <w:rFonts w:ascii="Times New Roman" w:hAnsi="Times New Roman" w:cs="Times New Roman"/>
          <w:color w:val="000000" w:themeColor="text1"/>
          <w:shd w:val="clear" w:color="auto" w:fill="FFFFFF"/>
        </w:rPr>
        <w:t xml:space="preserve"> </w:t>
      </w:r>
      <w:r w:rsidRPr="00B3074D">
        <w:rPr>
          <w:rFonts w:ascii="Times New Roman" w:hAnsi="Times New Roman" w:cs="Times New Roman"/>
          <w:color w:val="000000" w:themeColor="text1"/>
          <w:shd w:val="clear" w:color="auto" w:fill="FFFFFF"/>
        </w:rPr>
        <w:t xml:space="preserve">weeded </w:t>
      </w:r>
      <w:r>
        <w:rPr>
          <w:rFonts w:ascii="Times New Roman" w:hAnsi="Times New Roman" w:cs="Times New Roman"/>
          <w:color w:val="000000" w:themeColor="text1"/>
          <w:shd w:val="clear" w:color="auto" w:fill="FFFFFF"/>
        </w:rPr>
        <w:t>control (herein referred to as hand weeded)</w:t>
      </w:r>
      <w:r w:rsidRPr="00B3074D">
        <w:rPr>
          <w:rFonts w:ascii="Times New Roman" w:hAnsi="Times New Roman" w:cs="Times New Roman"/>
          <w:color w:val="000000" w:themeColor="text1"/>
          <w:shd w:val="clear" w:color="auto" w:fill="FFFFFF"/>
        </w:rPr>
        <w:t>, and three different</w:t>
      </w:r>
      <w:r>
        <w:rPr>
          <w:rFonts w:ascii="Times New Roman" w:hAnsi="Times New Roman" w:cs="Times New Roman"/>
          <w:color w:val="000000" w:themeColor="text1"/>
          <w:shd w:val="clear" w:color="auto" w:fill="FFFFFF"/>
        </w:rPr>
        <w:t xml:space="preserve"> chemical</w:t>
      </w:r>
      <w:r w:rsidRPr="00B3074D">
        <w:rPr>
          <w:rFonts w:ascii="Times New Roman" w:hAnsi="Times New Roman" w:cs="Times New Roman"/>
          <w:color w:val="000000" w:themeColor="text1"/>
          <w:shd w:val="clear" w:color="auto" w:fill="FFFFFF"/>
        </w:rPr>
        <w:t xml:space="preserve"> herbicide applications</w:t>
      </w:r>
      <w:r>
        <w:rPr>
          <w:rFonts w:ascii="Times New Roman" w:hAnsi="Times New Roman" w:cs="Times New Roman"/>
          <w:color w:val="000000" w:themeColor="text1"/>
          <w:shd w:val="clear" w:color="auto" w:fill="FFFFFF"/>
        </w:rPr>
        <w:t xml:space="preserve"> applied at recommended field rates: glyphosate (group 9), dicamba (group 4), and a tank mix consisting of atrazine and </w:t>
      </w:r>
      <w:proofErr w:type="spellStart"/>
      <w:r>
        <w:rPr>
          <w:rFonts w:ascii="Times New Roman" w:hAnsi="Times New Roman" w:cs="Times New Roman"/>
          <w:color w:val="000000" w:themeColor="text1"/>
          <w:shd w:val="clear" w:color="auto" w:fill="FFFFFF"/>
        </w:rPr>
        <w:t>mesotrione</w:t>
      </w:r>
      <w:proofErr w:type="spellEnd"/>
      <w:r>
        <w:rPr>
          <w:rFonts w:ascii="Times New Roman" w:hAnsi="Times New Roman" w:cs="Times New Roman"/>
          <w:color w:val="000000" w:themeColor="text1"/>
          <w:shd w:val="clear" w:color="auto" w:fill="FFFFFF"/>
        </w:rPr>
        <w:t xml:space="preserve"> (group 5 and group 27, respectively) (Table 1)</w:t>
      </w:r>
      <w:r w:rsidRPr="00B3074D">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w:t>
      </w:r>
      <w:r w:rsidRPr="00B3074D">
        <w:rPr>
          <w:rFonts w:ascii="Times New Roman" w:hAnsi="Times New Roman" w:cs="Times New Roman"/>
          <w:color w:val="000000" w:themeColor="text1"/>
          <w:shd w:val="clear" w:color="auto" w:fill="FFFFFF"/>
        </w:rPr>
        <w:t>In the hand</w:t>
      </w:r>
      <w:r>
        <w:rPr>
          <w:rFonts w:ascii="Times New Roman" w:hAnsi="Times New Roman" w:cs="Times New Roman"/>
          <w:color w:val="000000" w:themeColor="text1"/>
          <w:shd w:val="clear" w:color="auto" w:fill="FFFFFF"/>
        </w:rPr>
        <w:t xml:space="preserve"> </w:t>
      </w:r>
      <w:r w:rsidRPr="00B3074D">
        <w:rPr>
          <w:rFonts w:ascii="Times New Roman" w:hAnsi="Times New Roman" w:cs="Times New Roman"/>
          <w:color w:val="000000" w:themeColor="text1"/>
          <w:shd w:val="clear" w:color="auto" w:fill="FFFFFF"/>
        </w:rPr>
        <w:t xml:space="preserve">weeded plots, above ground vegetation was cut using a hoe and left on the soil surface. Belowground biomass was not disturbed and remained in the soil. A pre-treatment sampling was conducted on the morning of </w:t>
      </w:r>
      <w:r>
        <w:rPr>
          <w:rFonts w:ascii="Times New Roman" w:hAnsi="Times New Roman" w:cs="Times New Roman"/>
          <w:color w:val="000000" w:themeColor="text1"/>
          <w:shd w:val="clear" w:color="auto" w:fill="FFFFFF"/>
        </w:rPr>
        <w:t>weed removal treatment</w:t>
      </w:r>
      <w:r w:rsidRPr="00B3074D">
        <w:rPr>
          <w:rFonts w:ascii="Times New Roman" w:hAnsi="Times New Roman" w:cs="Times New Roman"/>
          <w:color w:val="000000" w:themeColor="text1"/>
          <w:shd w:val="clear" w:color="auto" w:fill="FFFFFF"/>
        </w:rPr>
        <w:t xml:space="preserve"> in early June. Following herbicide application and hand weeding, two post-treatment samplings were conducted</w:t>
      </w:r>
      <w:r>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10-days</w:t>
      </w:r>
      <w:r w:rsidRPr="00B3074D">
        <w:rPr>
          <w:rFonts w:ascii="Times New Roman" w:hAnsi="Times New Roman" w:cs="Times New Roman"/>
          <w:color w:val="000000" w:themeColor="text1"/>
          <w:shd w:val="clear" w:color="auto" w:fill="FFFFFF"/>
        </w:rPr>
        <w:t xml:space="preserve"> post-treatment and </w:t>
      </w:r>
      <w:r>
        <w:rPr>
          <w:rFonts w:ascii="Times New Roman" w:hAnsi="Times New Roman" w:cs="Times New Roman"/>
          <w:color w:val="000000" w:themeColor="text1"/>
          <w:shd w:val="clear" w:color="auto" w:fill="FFFFFF"/>
        </w:rPr>
        <w:t>20-days</w:t>
      </w:r>
      <w:r w:rsidRPr="00B3074D">
        <w:rPr>
          <w:rFonts w:ascii="Times New Roman" w:hAnsi="Times New Roman" w:cs="Times New Roman"/>
          <w:color w:val="000000" w:themeColor="text1"/>
          <w:shd w:val="clear" w:color="auto" w:fill="FFFFFF"/>
        </w:rPr>
        <w:t xml:space="preserve"> post-treatment. </w:t>
      </w:r>
    </w:p>
    <w:p w14:paraId="4A236F60" w14:textId="77777777" w:rsidR="00E800A0" w:rsidRDefault="00E800A0" w:rsidP="00E800A0">
      <w:pPr>
        <w:spacing w:line="480" w:lineRule="auto"/>
        <w:rPr>
          <w:rFonts w:ascii="Times New Roman" w:hAnsi="Times New Roman" w:cs="Times New Roman"/>
          <w:color w:val="000000" w:themeColor="text1"/>
          <w:spacing w:val="-3"/>
        </w:rPr>
      </w:pPr>
      <w:r w:rsidRPr="00B3074D">
        <w:rPr>
          <w:rFonts w:ascii="Times New Roman" w:hAnsi="Times New Roman" w:cs="Times New Roman"/>
          <w:color w:val="000000" w:themeColor="text1"/>
          <w:shd w:val="clear" w:color="auto" w:fill="FFFFFF"/>
        </w:rPr>
        <w:t xml:space="preserve"> </w:t>
      </w:r>
    </w:p>
    <w:p w14:paraId="73BC45D2" w14:textId="3566F721" w:rsidR="00E800A0" w:rsidRPr="00B3074D" w:rsidRDefault="00E800A0" w:rsidP="00E800A0">
      <w:pPr>
        <w:rPr>
          <w:rFonts w:ascii="Times New Roman" w:hAnsi="Times New Roman" w:cs="Times New Roman"/>
          <w:i/>
          <w:iCs/>
          <w:color w:val="000000" w:themeColor="text1"/>
          <w:shd w:val="clear" w:color="auto" w:fill="FFFFFF"/>
        </w:rPr>
      </w:pPr>
      <w:r w:rsidRPr="00B3074D">
        <w:rPr>
          <w:rFonts w:ascii="Times New Roman" w:hAnsi="Times New Roman" w:cs="Times New Roman"/>
          <w:i/>
          <w:iCs/>
          <w:color w:val="000000" w:themeColor="text1"/>
          <w:shd w:val="clear" w:color="auto" w:fill="FFFFFF"/>
        </w:rPr>
        <w:t>Sampling and analysis</w:t>
      </w:r>
    </w:p>
    <w:p w14:paraId="639DD833" w14:textId="77777777" w:rsidR="00A27C6C" w:rsidRDefault="00E800A0" w:rsidP="00E800A0">
      <w:pPr>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To facilitate sampling, a grid was laid out over each plot and coordinates of sample location</w:t>
      </w:r>
      <w:r w:rsidR="00A27C6C">
        <w:rPr>
          <w:rFonts w:ascii="Times New Roman" w:hAnsi="Times New Roman" w:cs="Times New Roman"/>
          <w:color w:val="000000" w:themeColor="text1"/>
          <w:shd w:val="clear" w:color="auto" w:fill="FFFFFF"/>
        </w:rPr>
        <w:t>s</w:t>
      </w:r>
      <w:r w:rsidRPr="00B3074D">
        <w:rPr>
          <w:rFonts w:ascii="Times New Roman" w:hAnsi="Times New Roman" w:cs="Times New Roman"/>
          <w:color w:val="000000" w:themeColor="text1"/>
          <w:shd w:val="clear" w:color="auto" w:fill="FFFFFF"/>
        </w:rPr>
        <w:t xml:space="preserve"> were determined using a random number generator. The corn </w:t>
      </w:r>
      <w:r>
        <w:rPr>
          <w:rFonts w:ascii="Times New Roman" w:hAnsi="Times New Roman" w:cs="Times New Roman"/>
          <w:color w:val="000000" w:themeColor="text1"/>
          <w:shd w:val="clear" w:color="auto" w:fill="FFFFFF"/>
        </w:rPr>
        <w:t>stalk</w:t>
      </w:r>
      <w:r w:rsidRPr="00B3074D">
        <w:rPr>
          <w:rFonts w:ascii="Times New Roman" w:hAnsi="Times New Roman" w:cs="Times New Roman"/>
          <w:color w:val="000000" w:themeColor="text1"/>
          <w:shd w:val="clear" w:color="auto" w:fill="FFFFFF"/>
        </w:rPr>
        <w:t xml:space="preserve"> closest to the </w:t>
      </w:r>
      <w:r w:rsidR="00A27C6C">
        <w:rPr>
          <w:rFonts w:ascii="Times New Roman" w:hAnsi="Times New Roman" w:cs="Times New Roman"/>
          <w:color w:val="000000" w:themeColor="text1"/>
          <w:shd w:val="clear" w:color="auto" w:fill="FFFFFF"/>
        </w:rPr>
        <w:t xml:space="preserve">randomly generated </w:t>
      </w:r>
      <w:r w:rsidRPr="00B3074D">
        <w:rPr>
          <w:rFonts w:ascii="Times New Roman" w:hAnsi="Times New Roman" w:cs="Times New Roman"/>
          <w:color w:val="000000" w:themeColor="text1"/>
          <w:shd w:val="clear" w:color="auto" w:fill="FFFFFF"/>
        </w:rPr>
        <w:t>coordinate was selected, and a 0.25 m</w:t>
      </w:r>
      <w:proofErr w:type="gramStart"/>
      <w:r w:rsidRPr="00B3074D">
        <w:rPr>
          <w:rFonts w:ascii="Times New Roman" w:hAnsi="Times New Roman" w:cs="Times New Roman"/>
          <w:color w:val="000000" w:themeColor="text1"/>
          <w:shd w:val="clear" w:color="auto" w:fill="FFFFFF"/>
          <w:vertAlign w:val="superscript"/>
        </w:rPr>
        <w:t xml:space="preserve">2 </w:t>
      </w:r>
      <w:r w:rsidRPr="00B3074D">
        <w:rPr>
          <w:rFonts w:ascii="Times New Roman" w:hAnsi="Times New Roman" w:cs="Times New Roman"/>
          <w:color w:val="000000" w:themeColor="text1"/>
          <w:shd w:val="clear" w:color="auto" w:fill="FFFFFF"/>
          <w:vertAlign w:val="subscript"/>
        </w:rPr>
        <w:t xml:space="preserve"> </w:t>
      </w:r>
      <w:r w:rsidRPr="00B3074D">
        <w:rPr>
          <w:rFonts w:ascii="Times New Roman" w:hAnsi="Times New Roman" w:cs="Times New Roman"/>
          <w:color w:val="000000" w:themeColor="text1"/>
          <w:shd w:val="clear" w:color="auto" w:fill="FFFFFF"/>
        </w:rPr>
        <w:t>Daubenmire</w:t>
      </w:r>
      <w:proofErr w:type="gramEnd"/>
      <w:r w:rsidRPr="00B3074D">
        <w:rPr>
          <w:rFonts w:ascii="Times New Roman" w:hAnsi="Times New Roman" w:cs="Times New Roman"/>
          <w:color w:val="000000" w:themeColor="text1"/>
          <w:shd w:val="clear" w:color="auto" w:fill="FFFFFF"/>
        </w:rPr>
        <w:t xml:space="preserve"> plot was placed so that </w:t>
      </w:r>
      <w:r>
        <w:rPr>
          <w:rFonts w:ascii="Times New Roman" w:hAnsi="Times New Roman" w:cs="Times New Roman"/>
          <w:color w:val="000000" w:themeColor="text1"/>
          <w:shd w:val="clear" w:color="auto" w:fill="FFFFFF"/>
        </w:rPr>
        <w:t>stalk</w:t>
      </w:r>
      <w:r w:rsidRPr="00B3074D">
        <w:rPr>
          <w:rFonts w:ascii="Times New Roman" w:hAnsi="Times New Roman" w:cs="Times New Roman"/>
          <w:color w:val="000000" w:themeColor="text1"/>
          <w:shd w:val="clear" w:color="auto" w:fill="FFFFFF"/>
        </w:rPr>
        <w:t xml:space="preserve"> was in the center. Cover classes of the main weeds including, redroot pigweed (</w:t>
      </w:r>
      <w:r w:rsidRPr="00B3074D">
        <w:rPr>
          <w:rFonts w:ascii="Times New Roman" w:hAnsi="Times New Roman" w:cs="Times New Roman"/>
          <w:i/>
          <w:iCs/>
          <w:color w:val="000000" w:themeColor="text1"/>
          <w:shd w:val="clear" w:color="auto" w:fill="FFFFFF"/>
        </w:rPr>
        <w:t xml:space="preserve">Amaranthus </w:t>
      </w:r>
      <w:proofErr w:type="spellStart"/>
      <w:r w:rsidRPr="00B3074D">
        <w:rPr>
          <w:rFonts w:ascii="Times New Roman" w:hAnsi="Times New Roman" w:cs="Times New Roman"/>
          <w:i/>
          <w:iCs/>
          <w:color w:val="000000" w:themeColor="text1"/>
          <w:shd w:val="clear" w:color="auto" w:fill="FFFFFF"/>
        </w:rPr>
        <w:t>retroflexus</w:t>
      </w:r>
      <w:proofErr w:type="spellEnd"/>
      <w:r w:rsidRPr="00B3074D">
        <w:rPr>
          <w:rFonts w:ascii="Times New Roman" w:hAnsi="Times New Roman" w:cs="Times New Roman"/>
          <w:color w:val="000000" w:themeColor="text1"/>
          <w:shd w:val="clear" w:color="auto" w:fill="FFFFFF"/>
        </w:rPr>
        <w:t>), Nightshade</w:t>
      </w:r>
      <w:r w:rsidR="00A27C6C">
        <w:rPr>
          <w:rFonts w:ascii="Times New Roman" w:hAnsi="Times New Roman" w:cs="Times New Roman"/>
          <w:color w:val="000000" w:themeColor="text1"/>
          <w:shd w:val="clear" w:color="auto" w:fill="FFFFFF"/>
        </w:rPr>
        <w:t>s</w:t>
      </w:r>
      <w:r w:rsidRPr="00B3074D">
        <w:rPr>
          <w:rFonts w:ascii="Times New Roman" w:hAnsi="Times New Roman" w:cs="Times New Roman"/>
          <w:color w:val="000000" w:themeColor="text1"/>
          <w:shd w:val="clear" w:color="auto" w:fill="FFFFFF"/>
        </w:rPr>
        <w:t xml:space="preserve"> (Solanaceae), lamb’s quarter (</w:t>
      </w:r>
      <w:r w:rsidRPr="00B3074D">
        <w:rPr>
          <w:rFonts w:ascii="Times New Roman" w:hAnsi="Times New Roman" w:cs="Times New Roman"/>
          <w:i/>
          <w:iCs/>
          <w:color w:val="000000" w:themeColor="text1"/>
          <w:shd w:val="clear" w:color="auto" w:fill="FFFFFF"/>
        </w:rPr>
        <w:t>Chenopodium album</w:t>
      </w:r>
      <w:r w:rsidRPr="00B3074D">
        <w:rPr>
          <w:rFonts w:ascii="Times New Roman" w:hAnsi="Times New Roman" w:cs="Times New Roman"/>
          <w:color w:val="000000" w:themeColor="text1"/>
          <w:shd w:val="clear" w:color="auto" w:fill="FFFFFF"/>
        </w:rPr>
        <w:t>), and any graminoid, were recorded for each Daubenmire plot. Total weedy vegetation cover was estimated by</w:t>
      </w:r>
      <w:r>
        <w:rPr>
          <w:rFonts w:ascii="Times New Roman" w:hAnsi="Times New Roman" w:cs="Times New Roman"/>
          <w:color w:val="000000" w:themeColor="text1"/>
          <w:shd w:val="clear" w:color="auto" w:fill="FFFFFF"/>
        </w:rPr>
        <w:t xml:space="preserve"> converting weedy cover classes to a continuous predictor and</w:t>
      </w:r>
      <w:r w:rsidRPr="00B3074D">
        <w:rPr>
          <w:rFonts w:ascii="Times New Roman" w:hAnsi="Times New Roman" w:cs="Times New Roman"/>
          <w:color w:val="000000" w:themeColor="text1"/>
          <w:shd w:val="clear" w:color="auto" w:fill="FFFFFF"/>
        </w:rPr>
        <w:t xml:space="preserve"> summing.</w:t>
      </w:r>
    </w:p>
    <w:p w14:paraId="223D4E25" w14:textId="7D0206A1" w:rsidR="00A27C6C" w:rsidRPr="00A27C6C" w:rsidRDefault="00A27C6C" w:rsidP="00A27C6C">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r>
      <w:r w:rsidR="00E800A0" w:rsidRPr="00B3074D">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T</w:t>
      </w:r>
      <w:r w:rsidRPr="00B3074D">
        <w:rPr>
          <w:rFonts w:ascii="Times New Roman" w:hAnsi="Times New Roman" w:cs="Times New Roman"/>
          <w:color w:val="000000" w:themeColor="text1"/>
          <w:shd w:val="clear" w:color="auto" w:fill="FFFFFF"/>
        </w:rPr>
        <w:t>hree plot replicate soil samples were collected at each of the time points for a total of 180 samples (5 treatments x 4 replicate plots x 3 plot replicates x 3 time points). Each plot replicate soil sample was a composite of three soil cores from a single Daubenmire to ensure sufficient soil for laboratory analyses.</w:t>
      </w:r>
      <w:r w:rsidRPr="00B3074D" w:rsidDel="006F1A77">
        <w:rPr>
          <w:rFonts w:ascii="Times New Roman" w:hAnsi="Times New Roman" w:cs="Times New Roman"/>
          <w:i/>
          <w:iCs/>
          <w:color w:val="000000" w:themeColor="text1"/>
          <w:shd w:val="clear" w:color="auto" w:fill="FFFFFF"/>
        </w:rPr>
        <w:t xml:space="preserve"> </w:t>
      </w:r>
      <w:r w:rsidRPr="00B3074D">
        <w:rPr>
          <w:rFonts w:ascii="Times New Roman" w:hAnsi="Times New Roman" w:cs="Times New Roman"/>
          <w:color w:val="000000" w:themeColor="text1"/>
          <w:shd w:val="clear" w:color="auto" w:fill="FFFFFF"/>
        </w:rPr>
        <w:t>Soil samples were collected using flame sterilized soil corer to a depth of 5 cm and stored on ice in sterile Whirl-Pak bags</w:t>
      </w:r>
      <w:r>
        <w:rPr>
          <w:rFonts w:ascii="Times New Roman" w:hAnsi="Times New Roman" w:cs="Times New Roman"/>
          <w:color w:val="000000" w:themeColor="text1"/>
          <w:shd w:val="clear" w:color="auto" w:fill="FFFFFF"/>
        </w:rPr>
        <w:t>.</w:t>
      </w:r>
      <w:r w:rsidRPr="00B3074D">
        <w:rPr>
          <w:rFonts w:ascii="Times New Roman" w:hAnsi="Times New Roman" w:cs="Times New Roman"/>
          <w:color w:val="000000" w:themeColor="text1"/>
          <w:shd w:val="clear" w:color="auto" w:fill="FFFFFF"/>
        </w:rPr>
        <w:t xml:space="preserve"> </w:t>
      </w:r>
      <w:r w:rsidRPr="00B3074D">
        <w:rPr>
          <w:rFonts w:ascii="Times New Roman" w:hAnsi="Times New Roman" w:cs="Times New Roman"/>
          <w:i/>
          <w:iCs/>
          <w:color w:val="000000" w:themeColor="text1"/>
          <w:shd w:val="clear" w:color="auto" w:fill="FFFFFF"/>
        </w:rPr>
        <w:t xml:space="preserve">In situ </w:t>
      </w:r>
      <w:r w:rsidRPr="00B3074D">
        <w:rPr>
          <w:rFonts w:ascii="Times New Roman" w:hAnsi="Times New Roman" w:cs="Times New Roman"/>
          <w:color w:val="000000" w:themeColor="text1"/>
          <w:shd w:val="clear" w:color="auto" w:fill="FFFFFF"/>
        </w:rPr>
        <w:t>soil</w:t>
      </w:r>
      <w:r w:rsidRPr="00B3074D">
        <w:rPr>
          <w:rFonts w:ascii="Times New Roman" w:hAnsi="Times New Roman" w:cs="Times New Roman"/>
          <w:i/>
          <w:iCs/>
          <w:color w:val="000000" w:themeColor="text1"/>
          <w:shd w:val="clear" w:color="auto" w:fill="FFFFFF"/>
        </w:rPr>
        <w:t xml:space="preserve"> </w:t>
      </w:r>
      <w:r w:rsidRPr="00B3074D">
        <w:rPr>
          <w:rFonts w:ascii="Times New Roman" w:hAnsi="Times New Roman" w:cs="Times New Roman"/>
          <w:color w:val="000000" w:themeColor="text1"/>
          <w:shd w:val="clear" w:color="auto" w:fill="FFFFFF"/>
        </w:rPr>
        <w:t xml:space="preserve">temperature was measured at a depth of 2.5 cm using a temperature probe. Soil samples were transported back to the University of Wyoming on ice for further processing. </w:t>
      </w:r>
    </w:p>
    <w:p w14:paraId="4C5A1951" w14:textId="43BB44BC" w:rsidR="00A27C6C" w:rsidRPr="00B3074D" w:rsidRDefault="00A27C6C" w:rsidP="00A27C6C">
      <w:pPr>
        <w:ind w:firstLine="720"/>
        <w:rPr>
          <w:rFonts w:ascii="Times New Roman" w:hAnsi="Times New Roman" w:cs="Times New Roman"/>
        </w:rPr>
      </w:pPr>
      <w:r w:rsidRPr="00B3074D">
        <w:rPr>
          <w:rFonts w:ascii="Times New Roman" w:hAnsi="Times New Roman" w:cs="Times New Roman"/>
          <w:color w:val="000000" w:themeColor="text1"/>
          <w:shd w:val="clear" w:color="auto" w:fill="FFFFFF"/>
        </w:rPr>
        <w:t>In the lab, field-fresh soil samples processed within 24 hours. Soil samples were first thoroughly mixed in the Whirl-Pak bag used for collection</w:t>
      </w:r>
      <w:r>
        <w:rPr>
          <w:rFonts w:ascii="Times New Roman" w:hAnsi="Times New Roman" w:cs="Times New Roman"/>
          <w:color w:val="000000" w:themeColor="text1"/>
          <w:shd w:val="clear" w:color="auto" w:fill="FFFFFF"/>
        </w:rPr>
        <w:t xml:space="preserve"> and then sieved </w:t>
      </w:r>
      <w:r w:rsidRPr="00B3074D">
        <w:rPr>
          <w:rFonts w:ascii="Times New Roman" w:hAnsi="Times New Roman" w:cs="Times New Roman"/>
          <w:color w:val="000000" w:themeColor="text1"/>
          <w:shd w:val="clear" w:color="auto" w:fill="FFFFFF"/>
        </w:rPr>
        <w:t>though an ethanol-cleaned 2 mm sieve. Gravimetric moisture content was determined by weight difference of a five-gram subsample of sieved field-fresh soil after oven drying at 105</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 xml:space="preserve"> C for 48 hours. Next, ~11 g of sieved soil was weighed out for extraction in 50 mL of 0.5 M K</w:t>
      </w:r>
      <w:r w:rsidRPr="00B3074D">
        <w:rPr>
          <w:rFonts w:ascii="Times New Roman" w:hAnsi="Times New Roman" w:cs="Times New Roman"/>
          <w:color w:val="000000" w:themeColor="text1"/>
          <w:shd w:val="clear" w:color="auto" w:fill="FFFFFF"/>
          <w:vertAlign w:val="subscript"/>
        </w:rPr>
        <w:t>2</w:t>
      </w:r>
      <w:r w:rsidRPr="00B3074D">
        <w:rPr>
          <w:rFonts w:ascii="Times New Roman" w:hAnsi="Times New Roman" w:cs="Times New Roman"/>
          <w:color w:val="000000" w:themeColor="text1"/>
          <w:shd w:val="clear" w:color="auto" w:fill="FFFFFF"/>
        </w:rPr>
        <w:t>SO</w:t>
      </w:r>
      <w:r w:rsidRPr="00B3074D">
        <w:rPr>
          <w:rFonts w:ascii="Times New Roman" w:hAnsi="Times New Roman" w:cs="Times New Roman"/>
          <w:color w:val="000000" w:themeColor="text1"/>
          <w:shd w:val="clear" w:color="auto" w:fill="FFFFFF"/>
          <w:vertAlign w:val="subscript"/>
        </w:rPr>
        <w:t xml:space="preserve">4 </w:t>
      </w:r>
      <w:r w:rsidRPr="00B3074D">
        <w:rPr>
          <w:rFonts w:ascii="Times New Roman" w:hAnsi="Times New Roman" w:cs="Times New Roman"/>
          <w:color w:val="000000" w:themeColor="text1"/>
          <w:shd w:val="clear" w:color="auto" w:fill="FFFFFF"/>
        </w:rPr>
        <w:t xml:space="preserve">for assessment of </w:t>
      </w:r>
      <w:r w:rsidRPr="00B3074D">
        <w:rPr>
          <w:rFonts w:ascii="Times New Roman" w:hAnsi="Times New Roman" w:cs="Times New Roman"/>
          <w:color w:val="000000" w:themeColor="text1"/>
          <w:shd w:val="clear" w:color="auto" w:fill="FFFFFF"/>
        </w:rPr>
        <w:lastRenderedPageBreak/>
        <w:t xml:space="preserve">extractable levels of cations (ammonium, calcium, sodium, and magnesium) and anions (nitrate, nitrite, phosphate, and chloride) on a Thermo scientific </w:t>
      </w:r>
      <w:proofErr w:type="spellStart"/>
      <w:r w:rsidRPr="00B3074D">
        <w:rPr>
          <w:rFonts w:ascii="Times New Roman" w:hAnsi="Times New Roman" w:cs="Times New Roman"/>
          <w:color w:val="000000" w:themeColor="text1"/>
          <w:shd w:val="clear" w:color="auto" w:fill="FFFFFF"/>
        </w:rPr>
        <w:t>Dionex</w:t>
      </w:r>
      <w:proofErr w:type="spellEnd"/>
      <w:r w:rsidRPr="00B3074D">
        <w:rPr>
          <w:rFonts w:ascii="Times New Roman" w:hAnsi="Times New Roman" w:cs="Times New Roman"/>
          <w:color w:val="000000" w:themeColor="text1"/>
          <w:shd w:val="clear" w:color="auto" w:fill="FFFFFF"/>
        </w:rPr>
        <w:t xml:space="preserve"> </w:t>
      </w:r>
      <w:proofErr w:type="spellStart"/>
      <w:r w:rsidRPr="00B3074D">
        <w:rPr>
          <w:rFonts w:ascii="Times New Roman" w:hAnsi="Times New Roman" w:cs="Times New Roman"/>
          <w:color w:val="000000" w:themeColor="text1"/>
          <w:shd w:val="clear" w:color="auto" w:fill="FFFFFF"/>
        </w:rPr>
        <w:t>Integrion</w:t>
      </w:r>
      <w:proofErr w:type="spellEnd"/>
      <w:r w:rsidRPr="00B3074D">
        <w:rPr>
          <w:rFonts w:ascii="Times New Roman" w:hAnsi="Times New Roman" w:cs="Times New Roman"/>
          <w:color w:val="000000" w:themeColor="text1"/>
          <w:shd w:val="clear" w:color="auto" w:fill="FFFFFF"/>
        </w:rPr>
        <w:t xml:space="preserve"> HPIC system (Thermo Fisher Scientific, Waltham, MA). Briefly, samples were shaken in extractant for 30 minutes, stored at 4 </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 xml:space="preserve">C overnight and filtered through </w:t>
      </w:r>
      <w:proofErr w:type="spellStart"/>
      <w:r w:rsidRPr="00B3074D">
        <w:rPr>
          <w:rFonts w:ascii="Times New Roman" w:hAnsi="Times New Roman" w:cs="Times New Roman"/>
          <w:color w:val="000000" w:themeColor="text1"/>
          <w:shd w:val="clear" w:color="auto" w:fill="FFFFFF"/>
        </w:rPr>
        <w:t>Fisherbrand</w:t>
      </w:r>
      <w:proofErr w:type="spellEnd"/>
      <w:r w:rsidRPr="00B3074D">
        <w:rPr>
          <w:rFonts w:ascii="Times New Roman" w:hAnsi="Times New Roman" w:cs="Times New Roman"/>
          <w:color w:val="000000" w:themeColor="text1"/>
          <w:shd w:val="clear" w:color="auto" w:fill="FFFFFF"/>
        </w:rPr>
        <w:t xml:space="preserve"> Q5 filter paper the next day. Filtered extracts were diluted with nanopore water (1:10) prior to analysis and filtered through a 0.45 </w:t>
      </w:r>
      <w:r w:rsidRPr="00B3074D">
        <w:rPr>
          <w:rFonts w:ascii="Times New Roman" w:hAnsi="Times New Roman" w:cs="Times New Roman"/>
          <w:color w:val="000000" w:themeColor="text1"/>
          <w:shd w:val="clear" w:color="auto" w:fill="FFFFFF"/>
        </w:rPr>
        <w:sym w:font="Symbol" w:char="F06D"/>
      </w:r>
      <w:r w:rsidRPr="00B3074D">
        <w:rPr>
          <w:rFonts w:ascii="Times New Roman" w:hAnsi="Times New Roman" w:cs="Times New Roman"/>
          <w:color w:val="000000" w:themeColor="text1"/>
          <w:shd w:val="clear" w:color="auto" w:fill="FFFFFF"/>
        </w:rPr>
        <w:t xml:space="preserve">m hydrophilic filter as per </w:t>
      </w:r>
      <w:r w:rsidRPr="00B3074D">
        <w:rPr>
          <w:rFonts w:ascii="Times New Roman" w:hAnsi="Times New Roman" w:cs="Times New Roman"/>
          <w:color w:val="000000" w:themeColor="text1"/>
          <w:shd w:val="clear" w:color="auto" w:fill="FFFFFF"/>
        </w:rPr>
        <w:fldChar w:fldCharType="begin" w:fldLock="1"/>
      </w:r>
      <w:r>
        <w:rPr>
          <w:rFonts w:ascii="Times New Roman" w:hAnsi="Times New Roman" w:cs="Times New Roman"/>
          <w:color w:val="000000" w:themeColor="text1"/>
          <w:shd w:val="clear" w:color="auto" w:fill="FFFFFF"/>
        </w:rPr>
        <w:instrText>ADDIN CSL_CITATION {"citationItems":[{"id":"ITEM-1","itemData":{"URL":"http://standardmethods.org/","accessed":{"date-parts":[["2018","6","6"]]},"id":"ITEM-1","issued":{"date-parts":[["2020"]]},"title":"Standard Methods Online -- Standard Methods for the Examination of Water and Wastewater","type":"webpage"},"uris":["http://www.mendeley.com/documents/?uuid=7d030bf0-9aeb-4e91-be40-5c8ae7a604cb"]}],"mendeley":{"formattedCitation":"(23)","plainTextFormattedCitation":"(23)","previouslyFormattedCitation":"(28)"},"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Pr="00A27C6C">
        <w:rPr>
          <w:rFonts w:ascii="Times New Roman" w:hAnsi="Times New Roman" w:cs="Times New Roman"/>
          <w:noProof/>
          <w:color w:val="000000" w:themeColor="text1"/>
          <w:shd w:val="clear" w:color="auto" w:fill="FFFFFF"/>
        </w:rPr>
        <w:t>(23)</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Anions were </w:t>
      </w:r>
      <w:proofErr w:type="gramStart"/>
      <w:r w:rsidRPr="00B3074D">
        <w:rPr>
          <w:rFonts w:ascii="Times New Roman" w:hAnsi="Times New Roman" w:cs="Times New Roman"/>
          <w:color w:val="000000" w:themeColor="text1"/>
          <w:shd w:val="clear" w:color="auto" w:fill="FFFFFF"/>
        </w:rPr>
        <w:t>ran</w:t>
      </w:r>
      <w:proofErr w:type="gramEnd"/>
      <w:r w:rsidRPr="00B3074D">
        <w:rPr>
          <w:rFonts w:ascii="Times New Roman" w:hAnsi="Times New Roman" w:cs="Times New Roman"/>
          <w:color w:val="000000" w:themeColor="text1"/>
          <w:shd w:val="clear" w:color="auto" w:fill="FFFFFF"/>
        </w:rPr>
        <w:t xml:space="preserve"> on a </w:t>
      </w:r>
      <w:proofErr w:type="spellStart"/>
      <w:r w:rsidRPr="00B3074D">
        <w:rPr>
          <w:rFonts w:ascii="Times New Roman" w:hAnsi="Times New Roman" w:cs="Times New Roman"/>
          <w:color w:val="000000" w:themeColor="text1"/>
        </w:rPr>
        <w:t>Dionex</w:t>
      </w:r>
      <w:proofErr w:type="spellEnd"/>
      <w:r w:rsidRPr="00B3074D">
        <w:rPr>
          <w:rFonts w:ascii="Times New Roman" w:hAnsi="Times New Roman" w:cs="Times New Roman"/>
          <w:color w:val="000000" w:themeColor="text1"/>
        </w:rPr>
        <w:t xml:space="preserve"> </w:t>
      </w:r>
      <w:proofErr w:type="spellStart"/>
      <w:r w:rsidRPr="00B3074D">
        <w:rPr>
          <w:rFonts w:ascii="Times New Roman" w:hAnsi="Times New Roman" w:cs="Times New Roman"/>
          <w:color w:val="000000" w:themeColor="text1"/>
        </w:rPr>
        <w:t>IonPac</w:t>
      </w:r>
      <w:proofErr w:type="spellEnd"/>
      <w:r w:rsidRPr="00B3074D">
        <w:rPr>
          <w:rFonts w:ascii="Times New Roman" w:hAnsi="Times New Roman" w:cs="Times New Roman"/>
          <w:color w:val="000000" w:themeColor="text1"/>
        </w:rPr>
        <w:t xml:space="preserve"> AS18 4 um 4x150 mm</w:t>
      </w:r>
      <w:r w:rsidRPr="00B3074D">
        <w:rPr>
          <w:rFonts w:ascii="Times New Roman" w:hAnsi="Times New Roman" w:cs="Times New Roman"/>
          <w:color w:val="000000" w:themeColor="text1"/>
          <w:shd w:val="clear" w:color="auto" w:fill="FFFFFF"/>
        </w:rPr>
        <w:t xml:space="preserve"> column for 20 minutes with a flow rate of 1.0 mL/min at 35 </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 xml:space="preserve">C. Cations were ran on a </w:t>
      </w:r>
      <w:proofErr w:type="spellStart"/>
      <w:r w:rsidRPr="00B3074D">
        <w:rPr>
          <w:rFonts w:ascii="Times New Roman" w:hAnsi="Times New Roman" w:cs="Times New Roman"/>
          <w:color w:val="000000" w:themeColor="text1"/>
          <w:shd w:val="clear" w:color="auto" w:fill="FFFFFF"/>
        </w:rPr>
        <w:t>D</w:t>
      </w:r>
      <w:r w:rsidRPr="00B3074D">
        <w:rPr>
          <w:rFonts w:ascii="Times New Roman" w:hAnsi="Times New Roman" w:cs="Times New Roman"/>
          <w:color w:val="000000" w:themeColor="text1"/>
        </w:rPr>
        <w:t>ionex</w:t>
      </w:r>
      <w:proofErr w:type="spellEnd"/>
      <w:r w:rsidRPr="00B3074D">
        <w:rPr>
          <w:rFonts w:ascii="Times New Roman" w:hAnsi="Times New Roman" w:cs="Times New Roman"/>
          <w:color w:val="000000" w:themeColor="text1"/>
        </w:rPr>
        <w:t xml:space="preserve"> </w:t>
      </w:r>
      <w:proofErr w:type="spellStart"/>
      <w:r w:rsidRPr="00B3074D">
        <w:rPr>
          <w:rFonts w:ascii="Times New Roman" w:hAnsi="Times New Roman" w:cs="Times New Roman"/>
          <w:color w:val="000000" w:themeColor="text1"/>
        </w:rPr>
        <w:t>IonPac</w:t>
      </w:r>
      <w:proofErr w:type="spellEnd"/>
      <w:r w:rsidRPr="00B3074D">
        <w:rPr>
          <w:rFonts w:ascii="Times New Roman" w:hAnsi="Times New Roman" w:cs="Times New Roman"/>
          <w:color w:val="000000" w:themeColor="text1"/>
        </w:rPr>
        <w:t xml:space="preserve"> CS16-Fast 4um 4x150mm column for 20 minutes with a flow rate of 0.64 mL/min at 40</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 xml:space="preserve">C. Raw values of anions and cations were reported as ppm and converted to mg/kg dry soil. The remaining soil was then split into two portions, of which one was frozen at -20 </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C for microbial analysis (</w:t>
      </w:r>
      <w:r>
        <w:rPr>
          <w:rFonts w:ascii="Times New Roman" w:hAnsi="Times New Roman" w:cs="Times New Roman"/>
          <w:color w:val="000000" w:themeColor="text1"/>
          <w:shd w:val="clear" w:color="auto" w:fill="FFFFFF"/>
        </w:rPr>
        <w:t xml:space="preserve">e.g., </w:t>
      </w:r>
      <w:r w:rsidRPr="00B3074D">
        <w:rPr>
          <w:rFonts w:ascii="Times New Roman" w:hAnsi="Times New Roman" w:cs="Times New Roman"/>
          <w:color w:val="000000" w:themeColor="text1"/>
          <w:shd w:val="clear" w:color="auto" w:fill="FFFFFF"/>
        </w:rPr>
        <w:t>DNA extraction for determination of microbial community structure and extracellular enzyme analysis for microbial function), and the other portion was air-dried. Air dried soil was used to measure pH and electrical conductivity using an Oakton PC700 benchtop meter (OAKTON instruments, Vernon Hills, IL) with a soil to DI water ratio of 1:2 (</w:t>
      </w:r>
      <w:proofErr w:type="spellStart"/>
      <w:proofErr w:type="gramStart"/>
      <w:r w:rsidRPr="00B3074D">
        <w:rPr>
          <w:rFonts w:ascii="Times New Roman" w:hAnsi="Times New Roman" w:cs="Times New Roman"/>
          <w:color w:val="000000" w:themeColor="text1"/>
          <w:shd w:val="clear" w:color="auto" w:fill="FFFFFF"/>
        </w:rPr>
        <w:t>w:v</w:t>
      </w:r>
      <w:proofErr w:type="spellEnd"/>
      <w:proofErr w:type="gramEnd"/>
      <w:r w:rsidRPr="00B3074D">
        <w:rPr>
          <w:rFonts w:ascii="Times New Roman" w:hAnsi="Times New Roman" w:cs="Times New Roman"/>
          <w:color w:val="000000" w:themeColor="text1"/>
          <w:shd w:val="clear" w:color="auto" w:fill="FFFFFF"/>
        </w:rPr>
        <w:t xml:space="preserve">). </w:t>
      </w:r>
    </w:p>
    <w:p w14:paraId="73776034" w14:textId="77777777" w:rsidR="00A27C6C" w:rsidRDefault="00A27C6C" w:rsidP="00A27C6C">
      <w:pPr>
        <w:rPr>
          <w:rFonts w:ascii="Times New Roman" w:hAnsi="Times New Roman" w:cs="Times New Roman"/>
          <w:i/>
          <w:iCs/>
          <w:color w:val="000000" w:themeColor="text1"/>
        </w:rPr>
      </w:pPr>
    </w:p>
    <w:p w14:paraId="42DC1224" w14:textId="0A442620" w:rsidR="00A27C6C" w:rsidRDefault="00A27C6C" w:rsidP="00A27C6C">
      <w:pPr>
        <w:rPr>
          <w:rFonts w:ascii="Times New Roman" w:hAnsi="Times New Roman" w:cs="Times New Roman"/>
          <w:i/>
          <w:iCs/>
          <w:color w:val="000000" w:themeColor="text1"/>
        </w:rPr>
      </w:pPr>
      <w:r w:rsidRPr="00B3074D">
        <w:rPr>
          <w:rFonts w:ascii="Times New Roman" w:hAnsi="Times New Roman" w:cs="Times New Roman"/>
          <w:i/>
          <w:iCs/>
          <w:color w:val="000000" w:themeColor="text1"/>
        </w:rPr>
        <w:t xml:space="preserve">Extracellular enzyme analysis </w:t>
      </w:r>
    </w:p>
    <w:p w14:paraId="45D9A08F" w14:textId="2A02FAE7" w:rsidR="00A27C6C" w:rsidRPr="00A27C6C" w:rsidRDefault="00A27C6C" w:rsidP="00A27C6C">
      <w:pPr>
        <w:rPr>
          <w:rFonts w:ascii="Times New Roman" w:hAnsi="Times New Roman" w:cs="Times New Roman"/>
          <w:i/>
          <w:iCs/>
          <w:color w:val="000000" w:themeColor="text1"/>
        </w:rPr>
      </w:pPr>
      <w:r w:rsidRPr="00B3074D">
        <w:rPr>
          <w:rFonts w:ascii="Times New Roman" w:hAnsi="Times New Roman" w:cs="Times New Roman"/>
          <w:color w:val="000000" w:themeColor="text1"/>
          <w:shd w:val="clear" w:color="auto" w:fill="FFFFFF"/>
        </w:rPr>
        <w:t xml:space="preserve">Extracellular enzyme activities (EEA) were </w:t>
      </w:r>
      <w:r w:rsidRPr="00B3074D">
        <w:rPr>
          <w:rFonts w:ascii="Times New Roman" w:hAnsi="Times New Roman" w:cs="Times New Roman"/>
          <w:color w:val="000000" w:themeColor="text1"/>
        </w:rPr>
        <w:t xml:space="preserve">measured for seven enzymes involved in the cycling of carbon (C), nitrogen (N), and phosphorus (P) as outlined in </w:t>
      </w:r>
      <w:r w:rsidRPr="00B3074D">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{"citationItems":[{"id":"ITEM-1","itemData":{"DOI":"10.3791/50961","ISBN":"1940-087X","ISSN":"1940-087X","PMID":"24299913","abstract":"Microbes in soils and other environments produce extracellular enzymes to depolymerize and hydrolyze organic macromolecules so that they can be assimilated for energy and nutrients. Measuring soil microbial enzyme activity is crucial in understanding soil ecosystem functional dynamics. The general concept of the fluorescence enzyme assay is that synthetic C-, N-, or P-rich substrates bound with a fluorescent dye are added to soil samples. When intact, the labeled substrates do not fluoresce. Enzyme activity is measured as the increase in fluorescence as the fluorescent dyes are cleaved from their substrates, which allows them to fluoresce. Enzyme measurements can be expressed in units of molarity or activity. To perform this assay, soil slurries are prepared by combining soil with a pH buffer. The pH buffer (typically a 50 mM sodium acetate or 50 mM Tris buffer), is chosen for the buffer's particular acid dissociation constant (pKa) to best match the soil sample pH. The soil slurries are inoculated with a nonlimiting amount of fluorescently labeled (i.e. C-, N-, or P-rich) substrate. Using soil slurries in the assay serves to minimize limitations on enzyme and substrate diffusion. Therefore, this assay controls for differences in substrate limitation, diffusion rates, and soil pH conditions; thus detecting potential enzyme activity rates as a function of the difference in enzyme concentrations (per sample). Fluorescence enzyme assays are typically more sensitive than spectrophotometric (i.e. colorimetric) assays, but can suffer from interference caused by impurities and the instability of many fluorescent compounds when exposed to light; so caution is required when handling fluorescent substrates. Likewise, this method only assesses potential enzyme activities under laboratory conditions when substrates are not limiting. Caution should be used when interpreting the data representing cross-site comparisons with differing temperatures or soil types, as in situ soil type and temperature can influence enzyme kinetics.","author":[{"dropping-particle":"","family":"Bell","given":"Colin W.","non-dropping-particle":"","parse-names":false,"suffix":""},{"dropping-particle":"","family":"Fricks","given":"Barbara E.","non-dropping-particle":"","parse-names":false,"suffix":""},{"dropping-particle":"","family":"Rocca","given":"Jennifer D.","non-dropping-particle":"","parse-names":false,"suffix":""},{"dropping-particle":"","family":"Steinweg","given":"Jessica M.","non-dropping-particle":"","parse-names":false,"suffix":""},{"dropping-particle":"","family":"McMahon","given":"Shawna K.","non-dropping-particle":"","parse-names":false,"suffix":""},{"dropping-particle":"","family":"Wallenstein","given":"Matthew D.","non-dropping-particle":"","parse-names":false,"suffix":""}],"container-title":"Journal of Visualized Experiments","id":"ITEM-1","issue":"81","issued":{"date-parts":[["2013","11","15"]]},"page":"1-16","title":"High-throughput Fluorometric Measurement of Potential Soil Extracellular Enzyme Activities","type":"article-journal"},"uris":["http://www.mendeley.com/documents/?uuid=ceba4dec-2f46-4021-a938-4cff285ef9a2"]},{"id":"ITEM-2","itemData":{"DOI":"10.1016/S0038-0717(02)00074-3","ISBN":"0038-0717","ISSN":"00380717","PMID":"7854201","abstract":"Anthropogenic N deposition affects litter decomposition and soil organic matter (SOM) storage through multiple mechanisms. Microbial community responses to long-term N deposition were investigated in a sugar maple-dominated forest in northern Michigan during the 1998–2000 growing seasons. Litter and soil were collected from three fertilized plots (30kg N ha−1y−1) and three control plots. The activities of 10 extracellular enzymes (EEA) were assayed. ANOVA and meta-analysis techniques were used to compare treatment responses. EEA responses to N amendment were greater in litter than in soil (litter mean effect size [d]=0.534 std. dev.; soil d=0.308). Urease, acid phosphatase and glycosidase (β-glucosidase, α-glucosidase, cellobiohydrolase, β-xylosidase) activities increased in both soil and litter; mean responses ranged from 7 to 56%. N-Acetylglucosaminidase activity increased 14% in soil but decreased 4% in litter. Phenol oxidase activity dropped 40% in soil, but increased 63% in litter. These responses suggest that N deposition has increased litter decomposition rate and depressed SOM decomposition. In previous studies, loss of phenol oxidase activity in response to N deposition has been attributed to suppression of lignin-degrading basidiomycetes. However, the decline of this activity in bacterially-dominated soil suggest that N inhibition of recalcitrant organic matter decomposition may be a more general phenomenon.","author":[{"dropping-particle":"","family":"Saiya-Cork","given":"K.R","non-dropping-particle":"","parse-names":false,"suffix":""},{"dropping-particle":"","family":"Sinsabaugh","given":"R.L","non-dropping-particle":"","parse-names":false,"suffix":""},{"dropping-particle":"","family":"Zak","given":"D.R","non-dropping-particle":"","parse-names":false,"suffix":""}],"container-title":"Soil Biology and Biochemistry","id":"ITEM-2","issue":"9","issued":{"date-parts":[["2002"]]},"page":"1309-1315","title":"The effects of long term nitrogen deposition on extracellular enzyme activity in an &lt;i&gt;Acer saccharum&lt;i&gt; forest soil","type":"article-journal","volume":"34"},"uris":["http://www.mendeley.com/documents/?uuid=3a71c7b3-ee8d-4c2c-9933-9797630ee3da"]},{"id":"ITEM-3","itemData":{"DOI":"10.1890/ES15-00262.1","ISSN":"21508925","abstract":"Rates of nitrogen (N) deposition are increasing in industrialized and rapidly developing nations. Simulated N deposition suppresses plant litter decay rates, in particular for low quality (high lignin) litter. Litter quality is a primary driver of litter decomposition; however, it is not clear how changes in litter quality caused by long-term ecosystem exposure to chronic N additions interact with altered soil N-availability to influence litter decay dynamics. To document the effects of simulated N deposition on litter quality, we conducted a meta-analysis of available litter nutrient data from simulated N deposition experiments in temperate forests. To directly test whether changes in litter quality caused by N deposition affect decay rates, we also conducted a reciprocal litterbag study in an existing N addition experiment, where a northern hardwood forest has been exposed to simulatedNdeposition for more than 20 years. The experiment enabled us to disentangle the effects ofN additions, litter quality, and their interactions on litter decay dynamics.We measured litter mass loss and extracellular enzyme activities after one and two years of decomposition. The meta-analysis demonstrated that simulatedNdeposition causes decreases of leaf Al, B, Ca, Mg, Mn, P, and Zn concentrations, and increased leafNconcentrations. Moreover, higher cumulative amounts of simulated N deposition result in greater decreases of leaf Ca and Mn concentrations. In the field experiment, litter originally collected from N-enriched plots exhibited similar N-induced nutrient changes as observed in our meta-analysis and also had lower lignolytic enzyme activities and decay rates than litter collected from control plots. The decreased litter decay rates observed with simulated N deposition were a result of the combined effects of the N fertilization itself and the historical effects of N deposition on tree litter chemistry. The data suggest that changes in litter quality caused directly by long- term N enrichment reinforce the negative effects of simulated N deposition on litter decay, particularly for high lignin species. The slowed decay associated with changes in litter quality caused by N enrichment itself may partly explain the accumulation of organic matter previously observed at ours and at other simulated N deposition experiments","author":[{"dropping-particle":"","family":"Diepen","given":"L.T.A.","non-dropping-particle":"Van","parse-names":false,"suffix":""},{"dropping-particle":"","family":"Frey","given":"S.D.","non-dropping-particle":"","parse-names":false,"suffix":""},{"dropping-particle":"","family":"Sthultz","given":"C.M.","non-dropping-particle":"","parse-names":false,"suffix":""},{"dropping-particle":"","family":"Morrison","given":"E.W.","non-dropping-particle":"","parse-names":false,"suffix":""},{"dropping-particle":"","family":"Minocha","given":"R.","non-dropping-particle":"","parse-names":false,"suffix":""},{"dropping-particle":"","family":"Pringle","given":"A.","non-dropping-particle":"","parse-names":false,"suffix":""}],"container-title":"Ecosphere","id":"ITEM-3","issue":"October","issued":{"date-parts":[["2015"]]},"page":"1-16","title":"Changes in litter quality caused by simulated nitrogen deposition reinforce the N-induced suppression of litter decay","type":"article-journal","volume":"6"},"uris":["http://www.mendeley.com/documents/?uuid=1cc00e69-3703-4f3b-aa10-183d86bb0680"]},{"id":"ITEM-4","itemData":{"DOI":"10.1016/j.soilbio.2009.02.029","ISBN":"0038-0717","ISSN":"00380717","abstract":"The purpose of this experiment was to evaluate whether soil storage and processing methods significantly influence measurements of potential in situ enzyme activity in acidic forest soils. More specifically, the objectives were to determine if: (1) duration and temperature of soil storage; (2) duration of soil slurry in buffer; and (3) age of model substrates significantly influence the activity of six commonly measured soil extracellular enzymes using methylumbelliferone (MUB)-linked substrates and l-dihydroxyphenylalanine (l-DOPA). Soil collected and analyzed for enzyme activity within 2 h was considered the best measure of potential in situ enzyme activity and the benchmark for all statistical comparisons. Sub-samples of the same soil were stored at either 4 ??C or -20 ??C. In addition to the temperature manipulation, soils experienced two more experimental treatments. First, enzyme activity was analyzed 2, 7, 14, and 21 days after collection. Second, MUB-linked substrate was added immediately (i.e. &lt;20 min) or 2 h after mixing soil with buffer. Enzyme activity of soil stored at 4 ??C was not significantly different from soil stored at -20 ??C. The duration of soil storage was minimal for ??-glucosidase, ??-xylosidase, and peroxidase activity. N-acetyl-glucosaminidase (NAGase), phosphatase, and phenol oxidase activity appeared to change the most when compared to fresh soils, but the direction of change varied. Likewise, the activities of these enzymes were most sensitive to extended time in buffer. Fluorometric MUB and MUB-linked substrates generally had a 3-day shelf life before they start to significantly suppress reported activities when kept at 4 ??C. These findings suggest that the manner in which acidic forest soils are stored and processed are site and enzyme specific and should not initially be trivialized when conducting enzyme assays focusing on NAGase, phosphatase, and phenol oxidase. The activities of ??-glucosidase, ??-xylosidase, and peroxidase are insensitive to storage and processing methods. ?? 2009 Elsevier Ltd. All rights reserved.","author":[{"dropping-particle":"","family":"DeForest","given":"Jared L.","non-dropping-particle":"","parse-names":false,"suffix":""}],"container-title":"Soil Biology and Biochemistry","id":"ITEM-4","issue":"6","issued":{"date-parts":[["2009"]]},"page":"1180-1186","publisher":"Elsevier Ltd","title":"The influence of time, storage temperature, and substrate age on potential soil enzyme activity in acidic forest soils using MUB-linked substrates and l-DOPA","type":"article-journal","volume":"41"},"uris":["http://www.mendeley.com/documents/?uuid=2327e9c6-0489-430b-843c-848e6895f01a"]},{"id":"ITEM-5","itemData":{"DOI":"10.1128/AEM.01984-19","ISSN":"10985336","abstract":"As the range of bark beetles expands into new forests and woodlands, the need to understand their effects on multiple trophic levels becomes increasingly important. To date, much attention has been paid to the aboveground processes affected by bark beetle infestation, with a focus on photoautotrophs and ecosystem level processes. However, indirect effects of bark beetle on belowground processes, especially the structure and function of soil microbiota remains largely a black box. Our study examined the impacts of bark beetle-induced tree mortality on soil microbial community structure and function using high-throughput sequencing of the soil bacterial and fungal communities and measurements of extracellular enzyme activities. The results suggest bark beetle infestation affected edaphic conditions through increased soil water content, pH, electrical conductivity, and carbon/nitrogen ratio and altered bulk and rhizosphere soil microbial community structure and function. Finally, increased enzymatic activity suggests heightened microbial decomposition following bark beetle infestation. With this increase in enzymatic activity, nutrients trapped in organic substrates may become accessible to seedlings and potentially alter the trajectory of forest regeneration. Our results indicate the need for incorporation of microbial processes into ecosystem level models. IMPORTANCE Belowground impacts of bark beetle infestation have not been explored as thoroughly as their aboveground counterparts. In order to accurately model impacts of bark beetle-induced tree mortality on carbon and nutrient cycling and forest regeneration, the intricacies of soil microbial communities must be examined. In this study, we investigated the structure and function of soil bacterial and fungal communities following bark beetle infestation. Our results show bark beetle infestation to impact soil conditions, as well as soil microbial community structure and function.","author":[{"dropping-particle":"","family":"Custer","given":"Gordon F.","non-dropping-particle":"","parse-names":false,"suffix":""},{"dropping-particle":"","family":"VanDiepen","given":"Linda T.A.","non-dropping-particle":"","parse-names":false,"suffix":""},{"dropping-particle":"","family":"Stump","given":"William L.","non-dropping-particle":"","parse-names":false,"suffix":""}],"container-title":"Applied and Environmental Microbiology","editor":[{"dropping-particle":"","family":"Vieille","given":"Claire","non-dropping-particle":"","parse-names":false,"suffix":""}],"id":"ITEM-5","issue":"3","issued":{"date-parts":[["2020","11","15"]]},"page":"1-19","title":"Structural and functional dynamics of soil microbes following spruce beetle infestation","type":"article-journal","volume":"86"},"uris":["http://www.mendeley.com/documents/?uuid=176f6698-828c-4004-9cd3-96e4a879d754"]}],"mendeley":{"formattedCitation":"(24–28)","plainTextFormattedCitation":"(24–28)","previouslyFormattedCitation":"(29–33)"},"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A27C6C">
        <w:rPr>
          <w:rFonts w:ascii="Times New Roman" w:hAnsi="Times New Roman" w:cs="Times New Roman"/>
          <w:noProof/>
          <w:color w:val="000000" w:themeColor="text1"/>
        </w:rPr>
        <w:t>(24–28)</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The enzymes measured include ß-glucosidase (BG), β-</w:t>
      </w:r>
      <w:proofErr w:type="spellStart"/>
      <w:r w:rsidRPr="00B3074D">
        <w:rPr>
          <w:rFonts w:ascii="Times New Roman" w:hAnsi="Times New Roman" w:cs="Times New Roman"/>
          <w:color w:val="000000" w:themeColor="text1"/>
        </w:rPr>
        <w:t>xylosidase</w:t>
      </w:r>
      <w:proofErr w:type="spellEnd"/>
      <w:r w:rsidRPr="00B3074D">
        <w:rPr>
          <w:rFonts w:ascii="Times New Roman" w:hAnsi="Times New Roman" w:cs="Times New Roman"/>
          <w:color w:val="000000" w:themeColor="text1"/>
        </w:rPr>
        <w:t xml:space="preserve"> (BX), α-glucosidase (AG), </w:t>
      </w:r>
      <w:proofErr w:type="spellStart"/>
      <w:r w:rsidRPr="00B3074D">
        <w:rPr>
          <w:rFonts w:ascii="Times New Roman" w:hAnsi="Times New Roman" w:cs="Times New Roman"/>
          <w:color w:val="000000" w:themeColor="text1"/>
        </w:rPr>
        <w:t>cellobiohydrolase</w:t>
      </w:r>
      <w:proofErr w:type="spellEnd"/>
      <w:r w:rsidRPr="00B3074D">
        <w:rPr>
          <w:rFonts w:ascii="Times New Roman" w:hAnsi="Times New Roman" w:cs="Times New Roman"/>
          <w:color w:val="000000" w:themeColor="text1"/>
        </w:rPr>
        <w:t xml:space="preserve"> (CBH), alkaline phosphatase (PHOS), N-acetyl-ß-</w:t>
      </w:r>
      <w:proofErr w:type="spellStart"/>
      <w:r w:rsidRPr="00B3074D">
        <w:rPr>
          <w:rFonts w:ascii="Times New Roman" w:hAnsi="Times New Roman" w:cs="Times New Roman"/>
          <w:color w:val="000000" w:themeColor="text1"/>
        </w:rPr>
        <w:t>glucosaminidase</w:t>
      </w:r>
      <w:proofErr w:type="spellEnd"/>
      <w:r w:rsidRPr="00B3074D">
        <w:rPr>
          <w:rFonts w:ascii="Times New Roman" w:hAnsi="Times New Roman" w:cs="Times New Roman"/>
          <w:color w:val="000000" w:themeColor="text1"/>
        </w:rPr>
        <w:t xml:space="preserve"> (NAG), and leucine aminopeptidase (LAP). A preliminary assay was performed using four different substrate concentrations (ranging from 200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M to 4000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M) at five different measurement times (1, 2, 4, 6, 8 and 10 hours). This was done to ensure non-limiting substrate availability and maximum potential enzyme activity (Vmax) </w:t>
      </w:r>
      <w:r w:rsidRPr="00B3074D">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{"citationItems":[{"id":"ITEM-1","itemData":{"DOI":"10.1016/j.soilbio.2011.03.017","ISSN":"00380717","abstract":"Microbial digestive enzymes in soil and litter have been studied for over a half century, yet the understanding of microbial enzymes as drivers of ecosystem processes remains hindered by methodological differences among researchers and laboratories. Modern techniques enable the comparison of enzyme activities from different sites and experiments, but most researchers do not optimize enzyme assay methods for their study sites, and thus may not properly assay potential enzyme activity. In this review, we characterize important procedural details of enzyme assays, and define the steps necessary to properly assay potential enzyme activities in environmental samples. We make the following recommendations to investigators measuring soil enzyme activities: 1) run enzyme assays at the environmental pH and temperature; 2) run proper standards, and if using fluorescent substrates with NaOH addition, use a standard time of 1 min between the addition of NaOH and reading in a fluorometer; 3) run enzyme assays under saturating substrate concentrations to ensure Vmax is being measured; 4) confirm that product is produced linearly over the duration of the assay; 5) examine whether mixing during the reaction is necessary to properly measure enzyme activity; 6) find the balance between dilution of soil homogenate and assay variation; and 7) ensure that enzyme activity values are properly calculated. These steps should help develop a unified understanding of enzyme activities in ecosystem ecology. © 2011 Elsevier Ltd.","author":[{"dropping-particle":"","family":"German","given":"Donovan P.","non-dropping-particle":"","parse-names":false,"suffix":""},{"dropping-particle":"","family":"Weintraub","given":"Michael N.","non-dropping-particle":"","parse-names":false,"suffix":""},{"dropping-particle":"","family":"Grandy","given":"A. Stuart","non-dropping-particle":"","parse-names":false,"suffix":""},{"dropping-particle":"","family":"Lauber","given":"Christian L.","non-dropping-particle":"","parse-names":false,"suffix":""},{"dropping-particle":"","family":"Rinkes","given":"Zachary L.","non-dropping-particle":"","parse-names":false,"suffix":""},{"dropping-particle":"","family":"Allison","given":"Steven D.","non-dropping-particle":"","parse-names":false,"suffix":""}],"container-title":"Soil Biology and Biochemistry","id":"ITEM-1","issue":"7","issued":{"date-parts":[["2011"]]},"page":"1387-1397","title":"Optimization of hydrolytic and oxidative enzyme methods for ecosystem studies","type":"article-journal","volume":"43"},"uris":["http://www.mendeley.com/documents/?uuid=479a2e2d-4968-412e-8c83-443f97e97450"]}],"mendeley":{"formattedCitation":"(29)","plainTextFormattedCitation":"(29)","previouslyFormattedCitation":"(34)"},"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A27C6C">
        <w:rPr>
          <w:rFonts w:ascii="Times New Roman" w:hAnsi="Times New Roman" w:cs="Times New Roman"/>
          <w:noProof/>
          <w:color w:val="000000" w:themeColor="text1"/>
        </w:rPr>
        <w:t>(29)</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Three soil samples encompassing the expected variability in enzyme activity were used for these preliminary assays. Briefly, a soil slurry was created by homogenizing 1 g of soil with 100 ml of sodium acetate buffer (50 mM, pH 7.95) for 30 seconds using a Magic Bullet blender (Homeland Housewares LLC). </w:t>
      </w:r>
      <w:r w:rsidRPr="00B3074D">
        <w:rPr>
          <w:rFonts w:ascii="Times New Roman" w:hAnsi="Times New Roman" w:cs="Times New Roman"/>
          <w:color w:val="000000" w:themeColor="text1"/>
        </w:rPr>
        <w:t>To</w:t>
      </w:r>
      <w:r w:rsidRPr="00B3074D">
        <w:rPr>
          <w:rFonts w:ascii="Times New Roman" w:hAnsi="Times New Roman" w:cs="Times New Roman"/>
          <w:color w:val="000000" w:themeColor="text1"/>
        </w:rPr>
        <w:t xml:space="preserve"> minimize difference between buffer and soil pH, we used a buffer pH 7.95 which represents the mean pH of all soil samples within 1 standard deviation. In a 96-well microplate, 200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of soil slurry homogenate was combined with 50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substrate and incubated at 20 </w:t>
      </w:r>
      <w:r w:rsidRPr="00B3074D">
        <w:rPr>
          <w:rFonts w:ascii="Times New Roman" w:hAnsi="Times New Roman" w:cs="Times New Roman"/>
          <w:color w:val="000000" w:themeColor="text1"/>
        </w:rPr>
        <w:sym w:font="Symbol" w:char="F0B0"/>
      </w:r>
      <w:r w:rsidRPr="00B3074D">
        <w:rPr>
          <w:rFonts w:ascii="Times New Roman" w:hAnsi="Times New Roman" w:cs="Times New Roman"/>
          <w:color w:val="000000" w:themeColor="text1"/>
        </w:rPr>
        <w:t>C for 1-10 hours. Four technical replicates per soil sample were used to measure fluorescence after addition of substrates. Hydrolytic enzyme activity was measured via fluorescence on a SYNERGY HTX multi-mode reader (</w:t>
      </w:r>
      <w:proofErr w:type="spellStart"/>
      <w:r w:rsidRPr="00B3074D">
        <w:rPr>
          <w:rFonts w:ascii="Times New Roman" w:hAnsi="Times New Roman" w:cs="Times New Roman"/>
          <w:color w:val="000000" w:themeColor="text1"/>
        </w:rPr>
        <w:t>BioTek</w:t>
      </w:r>
      <w:proofErr w:type="spellEnd"/>
      <w:r w:rsidRPr="00B3074D">
        <w:rPr>
          <w:rFonts w:ascii="Times New Roman" w:hAnsi="Times New Roman" w:cs="Times New Roman"/>
          <w:color w:val="000000" w:themeColor="text1"/>
        </w:rPr>
        <w:sym w:font="Symbol" w:char="F0D2"/>
      </w:r>
      <w:r w:rsidRPr="00B3074D">
        <w:rPr>
          <w:rFonts w:ascii="Times New Roman" w:hAnsi="Times New Roman" w:cs="Times New Roman"/>
          <w:color w:val="000000" w:themeColor="text1"/>
        </w:rPr>
        <w:t xml:space="preserve"> Instruments Inc., Winooski, VT) at an excitation wavelength of 360 nm and an emission wavelength of 450 nm. Background fluorescence was corrected using a negative control (sample homogenate with buffer), as well as a quench control (sample homogenate with standards). This was done to correct for interference of soil particles with fluorescence intensity. Fluorescence conversions were based on measurements of standards (10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M): 7-amido-4-methylcoumarin hydrochloride (AMC) for LAP and 4-methylumbelliferone (MUB) for BG, BX, AG, CBH, NAG, and PHOS. </w:t>
      </w:r>
      <w:r w:rsidRPr="00B3074D">
        <w:rPr>
          <w:rFonts w:ascii="Times New Roman" w:hAnsi="Times New Roman" w:cs="Times New Roman"/>
          <w:color w:val="000000" w:themeColor="text1"/>
          <w:shd w:val="clear" w:color="auto" w:fill="FFFFFF"/>
        </w:rPr>
        <w:t xml:space="preserve">Final enzyme activities were calculated using formulas outlined in </w:t>
      </w:r>
      <w:proofErr w:type="spellStart"/>
      <w:r w:rsidRPr="00B3074D">
        <w:rPr>
          <w:rFonts w:ascii="Times New Roman" w:hAnsi="Times New Roman" w:cs="Times New Roman"/>
          <w:color w:val="000000" w:themeColor="text1"/>
          <w:shd w:val="clear" w:color="auto" w:fill="FFFFFF"/>
        </w:rPr>
        <w:t>DeForest</w:t>
      </w:r>
      <w:proofErr w:type="spellEnd"/>
      <w:r w:rsidRPr="00B3074D">
        <w:rPr>
          <w:rFonts w:ascii="Times New Roman" w:hAnsi="Times New Roman" w:cs="Times New Roman"/>
          <w:color w:val="000000" w:themeColor="text1"/>
          <w:shd w:val="clear" w:color="auto" w:fill="FFFFFF"/>
        </w:rPr>
        <w:t xml:space="preserve"> </w:t>
      </w:r>
      <w:r w:rsidRPr="00B3074D">
        <w:rPr>
          <w:rFonts w:ascii="Times New Roman" w:hAnsi="Times New Roman" w:cs="Times New Roman"/>
          <w:color w:val="000000" w:themeColor="text1"/>
          <w:shd w:val="clear" w:color="auto" w:fill="FFFFFF"/>
        </w:rPr>
        <w:fldChar w:fldCharType="begin" w:fldLock="1"/>
      </w:r>
      <w:r>
        <w:rPr>
          <w:rFonts w:ascii="Times New Roman" w:hAnsi="Times New Roman" w:cs="Times New Roman"/>
          <w:color w:val="000000" w:themeColor="text1"/>
          <w:shd w:val="clear" w:color="auto" w:fill="FFFFFF"/>
        </w:rPr>
        <w:instrText>ADDIN CSL_CITATION {"citationItems":[{"id":"ITEM-1","itemData":{"DOI":"10.1016/j.soilbio.2009.02.029","ISBN":"0038-0717","ISSN":"00380717","abstract":"The purpose of this experiment was to evaluate whether soil storage and processing methods significantly influence measurements of potential in situ enzyme activity in acidic forest soils. More specifically, the objectives were to determine if: (1) duration and temperature of soil storage; (2) duration of soil slurry in buffer; and (3) age of model substrates significantly influence the activity of six commonly measured soil extracellular enzymes using methylumbelliferone (MUB)-linked substrates and l-dihydroxyphenylalanine (l-DOPA). Soil collected and analyzed for enzyme activity within 2 h was considered the best measure of potential in situ enzyme activity and the benchmark for all statistical comparisons. Sub-samples of the same soil were stored at either 4 ??C or -20 ??C. In addition to the temperature manipulation, soils experienced two more experimental treatments. First, enzyme activity was analyzed 2, 7, 14, and 21 days after collection. Second, MUB-linked substrate was added immediately (i.e. &lt;20 min) or 2 h after mixing soil with buffer. Enzyme activity of soil stored at 4 ??C was not significantly different from soil stored at -20 ??C. The duration of soil storage was minimal for ??-glucosidase, ??-xylosidase, and peroxidase activity. N-acetyl-glucosaminidase (NAGase), phosphatase, and phenol oxidase activity appeared to change the most when compared to fresh soils, but the direction of change varied. Likewise, the activities of these enzymes were most sensitive to extended time in buffer. Fluorometric MUB and MUB-linked substrates generally had a 3-day shelf life before they start to significantly suppress reported activities when kept at 4 ??C. These findings suggest that the manner in which acidic forest soils are stored and processed are site and enzyme specific and should not initially be trivialized when conducting enzyme assays focusing on NAGase, phosphatase, and phenol oxidase. The activities of ??-glucosidase, ??-xylosidase, and peroxidase are insensitive to storage and processing methods. ?? 2009 Elsevier Ltd. All rights reserved.","author":[{"dropping-particle":"","family":"DeForest","given":"Jared L.","non-dropping-particle":"","parse-names":false,"suffix":""}],"container-title":"Soil Biology and Biochemistry","id":"ITEM-1","issue":"6","issued":{"date-parts":[["2009"]]},"page":"1180-1186","publisher":"Elsevier Ltd","title":"The influence of time, storage temperature, and substrate age on potential soil enzyme activity in acidic forest soils using MUB-linked substrates and l-DOPA","type":"article-journal","volume":"41"},"suppress-author":1,"uris":["http://www.mendeley.com/documents/?uuid=2327e9c6-0489-430b-843c-848e6895f01a"]}],"mendeley":{"formattedCitation":"(27)","plainTextFormattedCitation":"(27)","previouslyFormattedCitation":"(32)"},"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Pr="00A27C6C">
        <w:rPr>
          <w:rFonts w:ascii="Times New Roman" w:hAnsi="Times New Roman" w:cs="Times New Roman"/>
          <w:noProof/>
          <w:color w:val="000000" w:themeColor="text1"/>
          <w:shd w:val="clear" w:color="auto" w:fill="FFFFFF"/>
        </w:rPr>
        <w:t>(27)</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and were reported as nmol of substrate converted per hour per g soil dry mass (nmol h</w:t>
      </w:r>
      <w:r w:rsidRPr="00B3074D">
        <w:rPr>
          <w:rFonts w:ascii="Times New Roman" w:hAnsi="Times New Roman" w:cs="Times New Roman"/>
          <w:color w:val="000000" w:themeColor="text1"/>
          <w:vertAlign w:val="superscript"/>
        </w:rPr>
        <w:t>-1</w:t>
      </w:r>
      <w:r w:rsidRPr="00B3074D">
        <w:rPr>
          <w:rFonts w:ascii="Times New Roman" w:hAnsi="Times New Roman" w:cs="Times New Roman"/>
          <w:color w:val="000000" w:themeColor="text1"/>
          <w:shd w:val="clear" w:color="auto" w:fill="FFFFFF"/>
        </w:rPr>
        <w:t> g</w:t>
      </w:r>
      <w:r w:rsidRPr="00B3074D">
        <w:rPr>
          <w:rFonts w:ascii="Times New Roman" w:hAnsi="Times New Roman" w:cs="Times New Roman"/>
          <w:color w:val="000000" w:themeColor="text1"/>
          <w:vertAlign w:val="superscript"/>
        </w:rPr>
        <w:t>-1</w:t>
      </w:r>
      <w:r w:rsidRPr="00B3074D">
        <w:rPr>
          <w:rFonts w:ascii="Times New Roman" w:hAnsi="Times New Roman" w:cs="Times New Roman"/>
          <w:color w:val="000000" w:themeColor="text1"/>
          <w:shd w:val="clear" w:color="auto" w:fill="FFFFFF"/>
        </w:rPr>
        <w:t>).</w:t>
      </w:r>
      <w:r w:rsidRPr="00B3074D">
        <w:rPr>
          <w:rFonts w:ascii="Times New Roman" w:hAnsi="Times New Roman" w:cs="Times New Roman"/>
          <w:color w:val="000000" w:themeColor="text1"/>
        </w:rPr>
        <w:t xml:space="preserve"> The incubation time and substrate concentration, from the preliminary assay, producing the highest average enzyme activity were selected for each enzyme. This resulted in a single substrate concentration and incubation time to be used for each enzyme across all samples for final enzyme assays. Final enzyme assays for all samples were done in a similar manner as the preliminary assays but using the substrate concentration and incubation time that resulted in the </w:t>
      </w:r>
      <w:r w:rsidRPr="00B3074D">
        <w:rPr>
          <w:rFonts w:ascii="Times New Roman" w:hAnsi="Times New Roman" w:cs="Times New Roman"/>
          <w:color w:val="000000" w:themeColor="text1"/>
        </w:rPr>
        <w:lastRenderedPageBreak/>
        <w:t>maximum potential enzyme activity (Vmax). One sample from each plot was used for enzyme analysis for a total of 20 sample at each time point and 60 samples across the three time points</w:t>
      </w:r>
      <w:r>
        <w:rPr>
          <w:rFonts w:ascii="Times New Roman" w:hAnsi="Times New Roman" w:cs="Times New Roman"/>
          <w:color w:val="000000" w:themeColor="text1"/>
        </w:rPr>
        <w:t>.</w:t>
      </w:r>
    </w:p>
    <w:p w14:paraId="376E3D87" w14:textId="77777777" w:rsidR="00A27C6C" w:rsidRDefault="00A27C6C" w:rsidP="00A27C6C">
      <w:pPr>
        <w:rPr>
          <w:rFonts w:ascii="Times New Roman" w:hAnsi="Times New Roman" w:cs="Times New Roman"/>
          <w:i/>
          <w:iCs/>
          <w:color w:val="000000" w:themeColor="text1"/>
          <w:shd w:val="clear" w:color="auto" w:fill="FFFFFF"/>
        </w:rPr>
      </w:pPr>
    </w:p>
    <w:p w14:paraId="78225247" w14:textId="7F30403F" w:rsidR="00A27C6C" w:rsidRPr="00B3074D" w:rsidRDefault="00A27C6C" w:rsidP="00A27C6C">
      <w:pPr>
        <w:rPr>
          <w:rFonts w:ascii="Times New Roman" w:hAnsi="Times New Roman" w:cs="Times New Roman"/>
          <w:i/>
          <w:iCs/>
          <w:color w:val="000000" w:themeColor="text1"/>
          <w:shd w:val="clear" w:color="auto" w:fill="FFFFFF"/>
        </w:rPr>
      </w:pPr>
      <w:r>
        <w:rPr>
          <w:rFonts w:ascii="Times New Roman" w:hAnsi="Times New Roman" w:cs="Times New Roman"/>
          <w:i/>
          <w:iCs/>
          <w:color w:val="000000" w:themeColor="text1"/>
          <w:shd w:val="clear" w:color="auto" w:fill="FFFFFF"/>
        </w:rPr>
        <w:t>Microbiome library preparation</w:t>
      </w:r>
    </w:p>
    <w:p w14:paraId="57BB5545" w14:textId="62A9DFFE" w:rsidR="00A27C6C" w:rsidRPr="00B3074D" w:rsidRDefault="00A27C6C" w:rsidP="00A27C6C">
      <w:pPr>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Subsamples of the same soils used for edaphic measurements were extracted using </w:t>
      </w:r>
      <w:proofErr w:type="spellStart"/>
      <w:r w:rsidRPr="00B3074D">
        <w:rPr>
          <w:rFonts w:ascii="Times New Roman" w:hAnsi="Times New Roman" w:cs="Times New Roman"/>
          <w:color w:val="000000" w:themeColor="text1"/>
          <w:shd w:val="clear" w:color="auto" w:fill="FFFFFF"/>
        </w:rPr>
        <w:t>PowerSoil</w:t>
      </w:r>
      <w:proofErr w:type="spellEnd"/>
      <w:r w:rsidRPr="00B3074D">
        <w:rPr>
          <w:rFonts w:ascii="Times New Roman" w:hAnsi="Times New Roman" w:cs="Times New Roman"/>
          <w:color w:val="000000" w:themeColor="text1"/>
          <w:shd w:val="clear" w:color="auto" w:fill="FFFFFF"/>
        </w:rPr>
        <w:t xml:space="preserve"> extraction kits (</w:t>
      </w:r>
      <w:r w:rsidRPr="00B3074D">
        <w:rPr>
          <w:rFonts w:ascii="Times New Roman" w:hAnsi="Times New Roman" w:cs="Times New Roman"/>
          <w:color w:val="000000" w:themeColor="text1"/>
        </w:rPr>
        <w:t>MO BIO, Carlsbad, CA</w:t>
      </w:r>
      <w:r w:rsidRPr="00B3074D">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according to manufacturer’s instructions. </w:t>
      </w:r>
      <w:r>
        <w:rPr>
          <w:rFonts w:ascii="Times New Roman" w:hAnsi="Times New Roman" w:cs="Times New Roman"/>
          <w:color w:val="000000" w:themeColor="text1"/>
          <w:shd w:val="clear" w:color="auto" w:fill="FFFFFF"/>
        </w:rPr>
        <w:t>S</w:t>
      </w:r>
      <w:r>
        <w:rPr>
          <w:rFonts w:ascii="Times New Roman" w:hAnsi="Times New Roman" w:cs="Times New Roman"/>
          <w:color w:val="000000" w:themeColor="text1"/>
          <w:shd w:val="clear" w:color="auto" w:fill="FFFFFF"/>
        </w:rPr>
        <w:t>oil DNA extracts were</w:t>
      </w:r>
      <w:r w:rsidRPr="00B3074D">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 xml:space="preserve">stored at </w:t>
      </w:r>
      <w:r w:rsidRPr="00B3074D">
        <w:rPr>
          <w:rFonts w:ascii="Times New Roman" w:hAnsi="Times New Roman" w:cs="Times New Roman"/>
          <w:color w:val="000000" w:themeColor="text1"/>
          <w:shd w:val="clear" w:color="auto" w:fill="FFFFFF"/>
        </w:rPr>
        <w:t xml:space="preserve">-20 </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 xml:space="preserve">C </w:t>
      </w:r>
      <w:r>
        <w:rPr>
          <w:rFonts w:ascii="Times New Roman" w:hAnsi="Times New Roman" w:cs="Times New Roman"/>
          <w:color w:val="000000" w:themeColor="text1"/>
          <w:shd w:val="clear" w:color="auto" w:fill="FFFFFF"/>
        </w:rPr>
        <w:t xml:space="preserve">until PCR and library preparation. </w:t>
      </w:r>
    </w:p>
    <w:p w14:paraId="48C30C10" w14:textId="77777777" w:rsidR="00A27C6C" w:rsidRDefault="00A27C6C" w:rsidP="00A27C6C">
      <w:pPr>
        <w:ind w:firstLine="720"/>
        <w:rPr>
          <w:rFonts w:ascii="Times New Roman" w:hAnsi="Times New Roman" w:cs="Times New Roman"/>
          <w:color w:val="000000" w:themeColor="text1"/>
        </w:rPr>
      </w:pPr>
      <w:r w:rsidRPr="00B3074D">
        <w:rPr>
          <w:rFonts w:ascii="Times New Roman" w:hAnsi="Times New Roman" w:cs="Times New Roman"/>
          <w:color w:val="000000" w:themeColor="text1"/>
        </w:rPr>
        <w:t xml:space="preserve">Both bacterial (16S) and fungal (internal transcribed spacer; ITS) amplicon libraries were prepared in the same fashion, though different primers were used to amplify each region. In order to amplify the V4 region of the bacterial 16S rRNA gene the modified </w:t>
      </w:r>
      <w:r w:rsidRPr="00B3074D">
        <w:rPr>
          <w:rFonts w:ascii="Times New Roman" w:hAnsi="Times New Roman" w:cs="Times New Roman"/>
          <w:color w:val="000000" w:themeColor="text1"/>
          <w:spacing w:val="-1"/>
          <w:shd w:val="clear" w:color="auto" w:fill="FFFFFF"/>
        </w:rPr>
        <w:t>515F (5’-GTGYCAGCMGCCGC GGTAA-3’</w:t>
      </w:r>
      <w:r w:rsidRPr="00B3074D">
        <w:rPr>
          <w:rFonts w:ascii="Times New Roman" w:hAnsi="Times New Roman" w:cs="Times New Roman"/>
          <w:color w:val="000000" w:themeColor="text1"/>
        </w:rPr>
        <w:t xml:space="preserve">) </w:t>
      </w:r>
      <w:r w:rsidRPr="00B3074D">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 xml:space="preserve">ADDIN CSL_CITATION {"citationItems":[{"id":"ITEM-1","itemData":{"DOI":"10.1111/1462-2920.13023","ISBN":"1462-2920","ISSN":"14622920","PMID":"26271760","abstract":"Microbial community analysis via high-throughput sequencing of amplified 16S rRNA genes is an essential microbiology tool. We found the popular primer pair 515F (515F-C) and 806R greatly underestimated (e.g. SAR11) or overestimated (e.g. Gammaproteobacteria) common marine taxa. We evaluated marine samples and mock communities (containing 11 or 27 marine 16S clones), showing alternative primers 515F-Y (5′-GTGYCAGCMGCCGCGG TAA) and 926R (5′-CCGYCAATTYMTTTRAGTTT) yield more accurate estimates of mock community abundances, produce longer amplicons that can differentiate taxa unresolvable with 515F-C/806R, and amplify eukaryotic 18S rRNA. Mock communities amplified with 515F-Y/926R yielded closer observed community composition versus expected (r2 = 0.95) compared with 515F-Y/806R (r2 </w:instrText>
      </w:r>
      <w:r>
        <w:rPr>
          <w:rFonts w:ascii="Cambria Math" w:hAnsi="Cambria Math" w:cs="Cambria Math"/>
          <w:color w:val="000000" w:themeColor="text1"/>
        </w:rPr>
        <w:instrText>∼</w:instrText>
      </w:r>
      <w:r>
        <w:rPr>
          <w:rFonts w:ascii="Times New Roman" w:hAnsi="Times New Roman" w:cs="Times New Roman"/>
          <w:color w:val="000000" w:themeColor="text1"/>
        </w:rPr>
        <w:instrText xml:space="preserve"> 0.5). Unexpectedly, biases with 515F-Y/806R against SAR11 in field samples (</w:instrText>
      </w:r>
      <w:r>
        <w:rPr>
          <w:rFonts w:ascii="Cambria Math" w:hAnsi="Cambria Math" w:cs="Cambria Math"/>
          <w:color w:val="000000" w:themeColor="text1"/>
        </w:rPr>
        <w:instrText>∼</w:instrText>
      </w:r>
      <w:r>
        <w:rPr>
          <w:rFonts w:ascii="Times New Roman" w:hAnsi="Times New Roman" w:cs="Times New Roman"/>
          <w:color w:val="000000" w:themeColor="text1"/>
        </w:rPr>
        <w:instrText>4–10- fold) were stronger than in mock communities (</w:instrText>
      </w:r>
      <w:r>
        <w:rPr>
          <w:rFonts w:ascii="Cambria Math" w:hAnsi="Cambria Math" w:cs="Cambria Math"/>
          <w:color w:val="000000" w:themeColor="text1"/>
        </w:rPr>
        <w:instrText>∼</w:instrText>
      </w:r>
      <w:r>
        <w:rPr>
          <w:rFonts w:ascii="Times New Roman" w:hAnsi="Times New Roman" w:cs="Times New Roman"/>
          <w:color w:val="000000" w:themeColor="text1"/>
        </w:rPr>
        <w:instrText xml:space="preserve">2- fold). Correcting a mismatch to Thaumarchaea in the 515F-C increased their apparent abundance in field samples, but not as much as using 926R rather than 806R. With plankton samples rich in eukaryotic DNA (&gt; 1 \u0004m size fraction), 18S sequences averaged </w:instrText>
      </w:r>
      <w:r>
        <w:rPr>
          <w:rFonts w:ascii="Cambria Math" w:hAnsi="Cambria Math" w:cs="Cambria Math"/>
          <w:color w:val="000000" w:themeColor="text1"/>
        </w:rPr>
        <w:instrText>∼</w:instrText>
      </w:r>
      <w:r>
        <w:rPr>
          <w:rFonts w:ascii="Times New Roman" w:hAnsi="Times New Roman" w:cs="Times New Roman"/>
          <w:color w:val="000000" w:themeColor="text1"/>
        </w:rPr>
        <w:instrText>17% of all sequences. A single mismatch can strongly bias amplification, but even perfectly matched primers can exhibit preferential amplification. We show that beyond in silico predictions, testing with mock communities and field samples is important in primer selection.","author":[{"dropping-particle":"","family":"Parada","given":"Alma E.","non-dropping-particle":"","parse-names":false,"suffix":""},{"dropping-particle":"","family":"Needham","given":"David M.","non-dropping-particle":"","parse-names":false,"suffix":""},{"dropping-particle":"","family":"Fuhrman","given":"Jed A.","non-dropping-particle":"","parse-names":false,"suffix":""}],"container-title":"Environmental Microbiology","id":"ITEM-1","issue":"5","issued":{"date-parts":[["2016"]]},"page":"1403-1414","title":"Every base matters: Assessing small subunit rRNA primers for marine microbiomes with mock communities, time series and global field samples","type":"article-journal","volume":"18"},"uris":["http://www.mendeley.com/documents/?uuid=65fef975-3787-4d90-898a-53b057f0670f"]}],"mendeley":{"formattedCitation":"(35)","plainTextFormattedCitation":"(35)","previouslyFormattedCitation":"(35)"},"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B92C04">
        <w:rPr>
          <w:rFonts w:ascii="Times New Roman" w:hAnsi="Times New Roman" w:cs="Times New Roman"/>
          <w:noProof/>
          <w:color w:val="000000" w:themeColor="text1"/>
        </w:rPr>
        <w:t>(35)</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and </w:t>
      </w:r>
      <w:r w:rsidRPr="00B3074D">
        <w:rPr>
          <w:rFonts w:ascii="Times New Roman" w:hAnsi="Times New Roman" w:cs="Times New Roman"/>
          <w:color w:val="000000" w:themeColor="text1"/>
          <w:spacing w:val="-1"/>
          <w:shd w:val="clear" w:color="auto" w:fill="FFFFFF"/>
        </w:rPr>
        <w:t>806R (5’-GGACTACNVGGGTWTCTAAT-3’)</w:t>
      </w:r>
      <w:r w:rsidRPr="00B3074D">
        <w:rPr>
          <w:rFonts w:ascii="Times New Roman" w:hAnsi="Times New Roman" w:cs="Times New Roman"/>
          <w:color w:val="000000" w:themeColor="text1"/>
        </w:rPr>
        <w:t xml:space="preserve"> </w:t>
      </w:r>
      <w:r w:rsidRPr="00B3074D">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{"citationItems":[{"id":"ITEM-1","itemData":{"DOI":"10.3354/ame01753","ISBN":"0948-3055","ISSN":"09483055","abstract":"High-throughput sequencing of small subunit ribosomal RNA (SSU rRNA) genes from marine environments is a widely applied method used to uncover the composition of micro- bial communities. We conducted an analysis of surface ocean waters with the commonly employed hypervariable 4 region SSU rRNA gene primers 515F and 806R, and found that bacteria belonging to the SAR11 clade of Alphaproteobacteria, a group typically making up 20 to 40% of the bacterioplankton in this environment, were greatly underrepresented and comprised &lt;4% of the total community. Using the SILVA reference database, we found a single nucleotide mismatch to nearly all SAR11 subclades, and revised the 806R primer so that it increased the detection of SAR11 clade sequences in the database from 2.6 to 96.7%. We then compared the performance of the original and revised 806R primers in surface seawater samples, and found that SAR11 com- prised 0.3 to 3.9% of sequences with the original primers and 17.5 to 30.5% of the sequences with the revised 806R primer. Furthermore, an investigation of seawater obtained from aquaria re - vealed that SAR11 sequences acquired with the revised 806R primer were more similar to natural cellular abundances of SAR11 detected using fluorescence in situ hybridization counts. Collectively, these results demonstrate that a minor adjustment to the 806R primer will greatly increase detec- tion of the globally abundant SAR11 clade in marine and lake environments, and enable inclusion of this important bacterial lineage in experimental and environmental-based studies.","author":[{"dropping-particle":"","family":"Apprill","given":"Amy","non-dropping-particle":"","parse-names":false,"suffix":""},{"dropping-particle":"","family":"Mcnally","given":"Sean","non-dropping-particle":"","parse-names":false,"suffix":""},{"dropping-particle":"","family":"Parsons","given":"Rachel","non-dropping-particle":"","parse-names":false,"suffix":""},{"dropping-particle":"","family":"Weber","given":"Laura","non-dropping-particle":"","parse-names":false,"suffix":""}],"container-title":"Aquatic Microbial Ecology","id":"ITEM-1","issue":"2","issued":{"date-parts":[["2015"]]},"page":"129-137","title":"Minor revision to V4 region SSU rRNA 806R gene primer greatly increases detection of SAR11 bacterioplankton","type":"article-journal","volume":"75"},"uris":["http://www.mendeley.com/documents/?uuid=0d8a431c-2886-4e52-9d95-c3b4e2e80792"]}],"mendeley":{"formattedCitation":"(36)","plainTextFormattedCitation":"(36)","previouslyFormattedCitation":"(36)"},"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B92C04">
        <w:rPr>
          <w:rFonts w:ascii="Times New Roman" w:hAnsi="Times New Roman" w:cs="Times New Roman"/>
          <w:noProof/>
          <w:color w:val="000000" w:themeColor="text1"/>
        </w:rPr>
        <w:t>(36)</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were used. For the ITS1 region of the fungal genome, the primers </w:t>
      </w:r>
      <w:r w:rsidRPr="00B3074D">
        <w:rPr>
          <w:rFonts w:ascii="Times New Roman" w:hAnsi="Times New Roman" w:cs="Times New Roman"/>
          <w:color w:val="000000" w:themeColor="text1"/>
          <w:spacing w:val="-1"/>
          <w:shd w:val="clear" w:color="auto" w:fill="FFFFFF"/>
        </w:rPr>
        <w:t>ITS1F (5'-CTTGGTCATTTAGAGGAAGTAA-3')</w:t>
      </w:r>
      <w:r w:rsidRPr="00B3074D">
        <w:rPr>
          <w:rFonts w:ascii="Times New Roman" w:hAnsi="Times New Roman" w:cs="Times New Roman"/>
          <w:color w:val="000000" w:themeColor="text1"/>
        </w:rPr>
        <w:t xml:space="preserve"> </w:t>
      </w:r>
      <w:r w:rsidRPr="00B3074D">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{"citationItems":[{"id":"ITEM-1","itemData":{"DOI":"10.1111/j.1365-294X.1993.tb00005.x","ISSN":"1365294X","PMID":"8180733","abstract":"We have designed two taxon‐selective primers for the internal transcribed spacer (ITS) region in the nuclear ribosomal repeat unit. These primers, ITS1‐F and ITS4‐B, were intended to be specific to fungi and basidiomycetes, respectively. We have tested the specificity of these primers against 13 species of ascomycetes, 14 of basidiomycetes, and 15 of plants. Our results showed that ITS4‐B, when paired with either a ‘universal’ primer ITS1 or the fungal‐specific primer ITS1‐F, efficiently amplified DNA from all basidiomycetes and discriminated against ascomycete DNAs. The results with plants were not as clearcut. The ITS1‐F/ITS4‐B primer pair produced a small amount of PCR product for certain plant species, but the quantity was in most cases less than that produced by the ‘universal’ ITS primers. However, under conditions where both plant and fungal DNAs were present, the fungal DNA was amplified to the apparent exclusion of plant DNA. ITS1‐F/ITS4‐B preferential amplification was shown to be particularly useful for detection and analysis of the basidiomycete component in ectomycorrhizae and in rust‐infected tissues. These primers can be used to study the structure of ectomycorrhizal communities or the distribution of rusts on alternate hosts. Copyright © 1993, Wiley Blackwell. All rights reserved","author":[{"dropping-particle":"","family":"Gardes","given":"M.","non-dropping-particle":"","parse-names":false,"suffix":""},{"dropping-particle":"","family":"Bruns","given":"T.D.","non-dropping-particle":"","parse-names":false,"suffix":""}],"container-title":"Molecular Ecology","id":"ITEM-1","issue":"2","issued":{"date-parts":[["1993"]]},"page":"113-118","title":"ITS primers with enhanced specificity for basidiomycetes ‐ application to the identification of mycorrhizae and rusts","type":"article-journal","volume":"2"},"uris":["http://www.mendeley.com/documents/?uuid=7e9bcdbd-4b50-4480-b8a2-1c1ea6061b3e"]}],"mendeley":{"formattedCitation":"(37)","plainTextFormattedCitation":"(37)","previouslyFormattedCitation":"(37)"},"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B92C04">
        <w:rPr>
          <w:rFonts w:ascii="Times New Roman" w:hAnsi="Times New Roman" w:cs="Times New Roman"/>
          <w:noProof/>
          <w:color w:val="000000" w:themeColor="text1"/>
        </w:rPr>
        <w:t>(37)</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and </w:t>
      </w:r>
      <w:r w:rsidRPr="00B3074D">
        <w:rPr>
          <w:rFonts w:ascii="Times New Roman" w:hAnsi="Times New Roman" w:cs="Times New Roman"/>
          <w:color w:val="000000" w:themeColor="text1"/>
          <w:spacing w:val="-1"/>
          <w:shd w:val="clear" w:color="auto" w:fill="FFFFFF"/>
        </w:rPr>
        <w:t>ITS2 (3'-CGTAGCTACTTCTTGCGTCG-5')</w:t>
      </w:r>
      <w:r w:rsidRPr="00B3074D">
        <w:rPr>
          <w:rFonts w:ascii="Times New Roman" w:hAnsi="Times New Roman" w:cs="Times New Roman"/>
          <w:color w:val="000000" w:themeColor="text1"/>
        </w:rPr>
        <w:t xml:space="preserve"> </w:t>
      </w:r>
      <w:r w:rsidRPr="00B3074D">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{"citationItems":[{"id":"ITEM-1","itemData":{"DOI":"10.1016/B978-0-12-372180-8.50042-1","ISBN":"008088671X","ISSN":"01689452","PMID":"1793","abstract":"White, T.J., T. Bruns, S. Lee, and J.W. Taylor. 1990. Amplification and direct sequencing of fungal ribosomal RNA genes for phylogenetics. Pp. 315-322 PCR Protocols: A Guide to Methods and Applications, eds. Innis, M.A., D.H. Gelfand, J.J. Sninsky, and T.J. White. Academic Press, Inc., New York.","author":[{"dropping-particle":"","family":"White","given":"T.J.","non-dropping-particle":"","parse-names":false,"suffix":""},{"dropping-particle":"","family":"Bruns","given":"T.","non-dropping-particle":"","parse-names":false,"suffix":""},{"dropping-particle":"","family":"Lee","given":"S.","non-dropping-particle":"","parse-names":false,"suffix":""},{"dropping-particle":"","family":"Taylor","given":"J.","non-dropping-particle":"","parse-names":false,"suffix":""}],"container-title":"PCR Protocols","id":"ITEM-1","issue":"January","issued":{"date-parts":[["1990"]]},"page":"315-322","publisher":"Elsevier","title":"Amplification and direct sequencing of fungal ribosomal RNA genes for phylogenetics","type":"chapter"},"uris":["http://www.mendeley.com/documents/?uuid=dd4605db-4e8d-4628-9622-570edf1fc495"]}],"mendeley":{"formattedCitation":"(38)","plainTextFormattedCitation":"(38)","previouslyFormattedCitation":"(38)"},"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B92C04">
        <w:rPr>
          <w:rFonts w:ascii="Times New Roman" w:hAnsi="Times New Roman" w:cs="Times New Roman"/>
          <w:noProof/>
          <w:color w:val="000000" w:themeColor="text1"/>
        </w:rPr>
        <w:t>(38)</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were used. Environmental DNA (eDNA) was normalized to 10 ng/</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prior to amplification. The 15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reactions contained 3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5x Kapa HiFi </w:t>
      </w:r>
      <w:proofErr w:type="spellStart"/>
      <w:r w:rsidRPr="00B3074D">
        <w:rPr>
          <w:rFonts w:ascii="Times New Roman" w:hAnsi="Times New Roman" w:cs="Times New Roman"/>
          <w:color w:val="000000" w:themeColor="text1"/>
        </w:rPr>
        <w:t>HotStart</w:t>
      </w:r>
      <w:proofErr w:type="spellEnd"/>
      <w:r w:rsidRPr="00B3074D">
        <w:rPr>
          <w:rFonts w:ascii="Times New Roman" w:hAnsi="Times New Roman" w:cs="Times New Roman"/>
          <w:color w:val="000000" w:themeColor="text1"/>
        </w:rPr>
        <w:t xml:space="preserve"> PCR buffer (Roche, Basel, Switzerland), 0.45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10M dNTPs, 0.3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Kapa HiFi </w:t>
      </w:r>
      <w:proofErr w:type="spellStart"/>
      <w:r w:rsidRPr="00B3074D">
        <w:rPr>
          <w:rFonts w:ascii="Times New Roman" w:hAnsi="Times New Roman" w:cs="Times New Roman"/>
          <w:color w:val="000000" w:themeColor="text1"/>
        </w:rPr>
        <w:t>HotStart</w:t>
      </w:r>
      <w:proofErr w:type="spellEnd"/>
      <w:r w:rsidRPr="00B3074D">
        <w:rPr>
          <w:rFonts w:ascii="Times New Roman" w:hAnsi="Times New Roman" w:cs="Times New Roman"/>
          <w:color w:val="000000" w:themeColor="text1"/>
        </w:rPr>
        <w:t xml:space="preserve"> DNA polymerase (Roche, Basel, Switzerland), 3.25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L HPLC H</w:t>
      </w:r>
      <w:r w:rsidRPr="00B3074D">
        <w:rPr>
          <w:rFonts w:ascii="Times New Roman" w:hAnsi="Times New Roman" w:cs="Times New Roman"/>
          <w:color w:val="000000" w:themeColor="text1"/>
          <w:vertAlign w:val="subscript"/>
        </w:rPr>
        <w:t>2</w:t>
      </w:r>
      <w:r w:rsidRPr="00B3074D">
        <w:rPr>
          <w:rFonts w:ascii="Times New Roman" w:hAnsi="Times New Roman" w:cs="Times New Roman"/>
          <w:color w:val="000000" w:themeColor="text1"/>
        </w:rPr>
        <w:t xml:space="preserve">O, 6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of appropriately paired barcoded primers (3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forward and 3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reverse), and 2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of the diluted 10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eDNA sample. In a two-step process, eDNA was amplified and barcoded, then </w:t>
      </w:r>
      <w:proofErr w:type="spellStart"/>
      <w:r w:rsidRPr="00B3074D">
        <w:rPr>
          <w:rFonts w:ascii="Times New Roman" w:hAnsi="Times New Roman" w:cs="Times New Roman"/>
          <w:color w:val="000000" w:themeColor="text1"/>
        </w:rPr>
        <w:t>Illumnia</w:t>
      </w:r>
      <w:proofErr w:type="spellEnd"/>
      <w:r w:rsidRPr="00B3074D">
        <w:rPr>
          <w:rFonts w:ascii="Times New Roman" w:hAnsi="Times New Roman" w:cs="Times New Roman"/>
          <w:color w:val="000000" w:themeColor="text1"/>
        </w:rPr>
        <w:t xml:space="preserve"> adaptors were added. In the amplification and barcoding step, the following PCR conditions were used:  95 </w:t>
      </w:r>
      <w:r w:rsidRPr="00B3074D">
        <w:rPr>
          <w:rFonts w:ascii="Times New Roman" w:hAnsi="Times New Roman" w:cs="Times New Roman"/>
          <w:color w:val="000000" w:themeColor="text1"/>
        </w:rPr>
        <w:sym w:font="Symbol" w:char="00B0"/>
      </w:r>
      <w:proofErr w:type="gramStart"/>
      <w:r w:rsidRPr="00B3074D">
        <w:rPr>
          <w:rFonts w:ascii="Times New Roman" w:hAnsi="Times New Roman" w:cs="Times New Roman"/>
          <w:color w:val="000000" w:themeColor="text1"/>
        </w:rPr>
        <w:t>C  for</w:t>
      </w:r>
      <w:proofErr w:type="gramEnd"/>
      <w:r w:rsidRPr="00B3074D">
        <w:rPr>
          <w:rFonts w:ascii="Times New Roman" w:hAnsi="Times New Roman" w:cs="Times New Roman"/>
          <w:color w:val="000000" w:themeColor="text1"/>
        </w:rPr>
        <w:t xml:space="preserve"> 3 min (1 cycle), 15 cycles of 98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30 sec, 62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30 sec, 72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30 sec, and 72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5 min (1 cycle). PCR was performed in duplicate for each sample and combined to limit PCR biases. PCR products were cleaned using </w:t>
      </w:r>
      <w:proofErr w:type="spellStart"/>
      <w:r w:rsidRPr="00B3074D">
        <w:rPr>
          <w:rFonts w:ascii="Times New Roman" w:hAnsi="Times New Roman" w:cs="Times New Roman"/>
          <w:color w:val="000000" w:themeColor="text1"/>
        </w:rPr>
        <w:t>Axygen’s</w:t>
      </w:r>
      <w:proofErr w:type="spellEnd"/>
      <w:r w:rsidRPr="00B3074D">
        <w:rPr>
          <w:rFonts w:ascii="Times New Roman" w:hAnsi="Times New Roman" w:cs="Times New Roman"/>
          <w:color w:val="000000" w:themeColor="text1"/>
        </w:rPr>
        <w:t xml:space="preserve"> </w:t>
      </w:r>
      <w:proofErr w:type="spellStart"/>
      <w:r w:rsidRPr="00B3074D">
        <w:rPr>
          <w:rFonts w:ascii="Times New Roman" w:hAnsi="Times New Roman" w:cs="Times New Roman"/>
          <w:color w:val="000000" w:themeColor="text1"/>
        </w:rPr>
        <w:t>AxyPrep</w:t>
      </w:r>
      <w:proofErr w:type="spellEnd"/>
      <w:r w:rsidRPr="00B3074D">
        <w:rPr>
          <w:rFonts w:ascii="Times New Roman" w:hAnsi="Times New Roman" w:cs="Times New Roman"/>
          <w:color w:val="000000" w:themeColor="text1"/>
        </w:rPr>
        <w:t xml:space="preserve"> Mag PCR Clean-up Kit according to manufacturer instructions without addition of TE buffer (</w:t>
      </w:r>
      <w:proofErr w:type="spellStart"/>
      <w:r w:rsidRPr="00B3074D">
        <w:rPr>
          <w:rFonts w:ascii="Times New Roman" w:hAnsi="Times New Roman" w:cs="Times New Roman"/>
          <w:color w:val="000000" w:themeColor="text1"/>
        </w:rPr>
        <w:t>Axygen</w:t>
      </w:r>
      <w:proofErr w:type="spellEnd"/>
      <w:r w:rsidRPr="00B3074D">
        <w:rPr>
          <w:rFonts w:ascii="Times New Roman" w:hAnsi="Times New Roman" w:cs="Times New Roman"/>
          <w:color w:val="000000" w:themeColor="text1"/>
        </w:rPr>
        <w:t xml:space="preserve"> Biosciences, Union City, CA). In the second step of the PCR, Illumina barcodes were added to our DNA samples. Each reaction in this step </w:t>
      </w:r>
      <w:proofErr w:type="gramStart"/>
      <w:r w:rsidRPr="00B3074D">
        <w:rPr>
          <w:rFonts w:ascii="Times New Roman" w:hAnsi="Times New Roman" w:cs="Times New Roman"/>
          <w:color w:val="000000" w:themeColor="text1"/>
        </w:rPr>
        <w:t>consist</w:t>
      </w:r>
      <w:proofErr w:type="gramEnd"/>
      <w:r w:rsidRPr="00B3074D">
        <w:rPr>
          <w:rFonts w:ascii="Times New Roman" w:hAnsi="Times New Roman" w:cs="Times New Roman"/>
          <w:color w:val="000000" w:themeColor="text1"/>
        </w:rPr>
        <w:t xml:space="preserve"> of 10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of cleaned PCR product from the first step and 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of </w:t>
      </w:r>
      <w:proofErr w:type="spellStart"/>
      <w:r w:rsidRPr="00B3074D">
        <w:rPr>
          <w:rFonts w:ascii="Times New Roman" w:hAnsi="Times New Roman" w:cs="Times New Roman"/>
          <w:color w:val="000000" w:themeColor="text1"/>
        </w:rPr>
        <w:t>FlowCell</w:t>
      </w:r>
      <w:proofErr w:type="spellEnd"/>
      <w:r w:rsidRPr="00B3074D">
        <w:rPr>
          <w:rFonts w:ascii="Times New Roman" w:hAnsi="Times New Roman" w:cs="Times New Roman"/>
          <w:color w:val="000000" w:themeColor="text1"/>
        </w:rPr>
        <w:t xml:space="preserve"> </w:t>
      </w:r>
      <w:proofErr w:type="spellStart"/>
      <w:r w:rsidRPr="00B3074D">
        <w:rPr>
          <w:rFonts w:ascii="Times New Roman" w:hAnsi="Times New Roman" w:cs="Times New Roman"/>
          <w:color w:val="000000" w:themeColor="text1"/>
        </w:rPr>
        <w:t>mastermix</w:t>
      </w:r>
      <w:proofErr w:type="spellEnd"/>
      <w:r w:rsidRPr="00B3074D">
        <w:rPr>
          <w:rFonts w:ascii="Times New Roman" w:hAnsi="Times New Roman" w:cs="Times New Roman"/>
          <w:color w:val="000000" w:themeColor="text1"/>
        </w:rPr>
        <w:t xml:space="preserve"> consisting of 3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of 5x Phusion HF buffer (Thermo Fisher Scientific, Waltham, MA, USA), 0.45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10M dNTPs, 0.3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Kapa HiFi </w:t>
      </w:r>
      <w:proofErr w:type="spellStart"/>
      <w:r w:rsidRPr="00B3074D">
        <w:rPr>
          <w:rFonts w:ascii="Times New Roman" w:hAnsi="Times New Roman" w:cs="Times New Roman"/>
          <w:color w:val="000000" w:themeColor="text1"/>
        </w:rPr>
        <w:t>HotStart</w:t>
      </w:r>
      <w:proofErr w:type="spellEnd"/>
      <w:r w:rsidRPr="00B3074D">
        <w:rPr>
          <w:rFonts w:ascii="Times New Roman" w:hAnsi="Times New Roman" w:cs="Times New Roman"/>
          <w:color w:val="000000" w:themeColor="text1"/>
        </w:rPr>
        <w:t xml:space="preserve"> DNA polymerase (Roche, Basel, Switzerland), 0.5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10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M forward (</w:t>
      </w:r>
      <w:r w:rsidRPr="00B3074D">
        <w:rPr>
          <w:rFonts w:ascii="Times New Roman" w:hAnsi="Times New Roman" w:cs="Times New Roman"/>
          <w:color w:val="000000" w:themeColor="text1"/>
          <w:spacing w:val="-1"/>
          <w:shd w:val="clear" w:color="auto" w:fill="FFFFFF"/>
        </w:rPr>
        <w:t>AATGATACGGCGACCACCGAGATCTACACTCGTCGGCAGCGTC</w:t>
      </w:r>
      <w:r w:rsidRPr="00B3074D">
        <w:rPr>
          <w:rFonts w:ascii="Times New Roman" w:hAnsi="Times New Roman" w:cs="Times New Roman"/>
          <w:color w:val="000000" w:themeColor="text1"/>
        </w:rPr>
        <w:t>) and reverse (</w:t>
      </w:r>
      <w:r w:rsidRPr="00B3074D">
        <w:rPr>
          <w:rFonts w:ascii="Times New Roman" w:hAnsi="Times New Roman" w:cs="Times New Roman"/>
          <w:color w:val="000000" w:themeColor="text1"/>
          <w:spacing w:val="-1"/>
          <w:shd w:val="clear" w:color="auto" w:fill="FFFFFF"/>
        </w:rPr>
        <w:t>CAAGCAGAAGACGGCATACGAGATGTCTCGTGGGCTCGG</w:t>
      </w:r>
      <w:r w:rsidRPr="00B3074D">
        <w:rPr>
          <w:rFonts w:ascii="Times New Roman" w:hAnsi="Times New Roman" w:cs="Times New Roman"/>
          <w:color w:val="000000" w:themeColor="text1"/>
        </w:rPr>
        <w:t xml:space="preserve">) </w:t>
      </w:r>
      <w:proofErr w:type="spellStart"/>
      <w:r w:rsidRPr="00B3074D">
        <w:rPr>
          <w:rFonts w:ascii="Times New Roman" w:hAnsi="Times New Roman" w:cs="Times New Roman"/>
          <w:color w:val="000000" w:themeColor="text1"/>
        </w:rPr>
        <w:t>FlowCell</w:t>
      </w:r>
      <w:proofErr w:type="spellEnd"/>
      <w:r w:rsidRPr="00B3074D">
        <w:rPr>
          <w:rFonts w:ascii="Times New Roman" w:hAnsi="Times New Roman" w:cs="Times New Roman"/>
          <w:color w:val="000000" w:themeColor="text1"/>
        </w:rPr>
        <w:t xml:space="preserve"> primers, and 0.75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L HPLC H</w:t>
      </w:r>
      <w:r w:rsidRPr="00B3074D">
        <w:rPr>
          <w:rFonts w:ascii="Times New Roman" w:hAnsi="Times New Roman" w:cs="Times New Roman"/>
          <w:color w:val="000000" w:themeColor="text1"/>
          <w:vertAlign w:val="subscript"/>
        </w:rPr>
        <w:t>2</w:t>
      </w:r>
      <w:r w:rsidRPr="00B3074D">
        <w:rPr>
          <w:rFonts w:ascii="Times New Roman" w:hAnsi="Times New Roman" w:cs="Times New Roman"/>
          <w:color w:val="000000" w:themeColor="text1"/>
        </w:rPr>
        <w:t xml:space="preserve">O. In the Illumina adaptor addition step, the following PCR conditions were used:  95 </w:t>
      </w:r>
      <w:r w:rsidRPr="00B3074D">
        <w:rPr>
          <w:rFonts w:ascii="Times New Roman" w:hAnsi="Times New Roman" w:cs="Times New Roman"/>
          <w:color w:val="000000" w:themeColor="text1"/>
        </w:rPr>
        <w:sym w:font="Symbol" w:char="00B0"/>
      </w:r>
      <w:proofErr w:type="gramStart"/>
      <w:r w:rsidRPr="00B3074D">
        <w:rPr>
          <w:rFonts w:ascii="Times New Roman" w:hAnsi="Times New Roman" w:cs="Times New Roman"/>
          <w:color w:val="000000" w:themeColor="text1"/>
        </w:rPr>
        <w:t>C  for</w:t>
      </w:r>
      <w:proofErr w:type="gramEnd"/>
      <w:r w:rsidRPr="00B3074D">
        <w:rPr>
          <w:rFonts w:ascii="Times New Roman" w:hAnsi="Times New Roman" w:cs="Times New Roman"/>
          <w:color w:val="000000" w:themeColor="text1"/>
        </w:rPr>
        <w:t xml:space="preserve"> 3 min (1 cycle), 19 cycles of 98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30 sec, 55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30 sec, 72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30 sec, and 72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5 min (1 cycle). PCR products from the second step were cleaned using GSAF’s modified </w:t>
      </w:r>
      <w:proofErr w:type="spellStart"/>
      <w:r w:rsidRPr="00B3074D">
        <w:rPr>
          <w:rFonts w:ascii="Times New Roman" w:hAnsi="Times New Roman" w:cs="Times New Roman"/>
          <w:color w:val="000000" w:themeColor="text1"/>
        </w:rPr>
        <w:t>MagBead</w:t>
      </w:r>
      <w:proofErr w:type="spellEnd"/>
      <w:r w:rsidRPr="00B3074D">
        <w:rPr>
          <w:rFonts w:ascii="Times New Roman" w:hAnsi="Times New Roman" w:cs="Times New Roman"/>
          <w:color w:val="000000" w:themeColor="text1"/>
        </w:rPr>
        <w:t xml:space="preserve"> protocol and the </w:t>
      </w:r>
      <w:proofErr w:type="spellStart"/>
      <w:r w:rsidRPr="00B3074D">
        <w:rPr>
          <w:rFonts w:ascii="Times New Roman" w:hAnsi="Times New Roman" w:cs="Times New Roman"/>
          <w:color w:val="000000" w:themeColor="text1"/>
        </w:rPr>
        <w:t>Axygen’s</w:t>
      </w:r>
      <w:proofErr w:type="spellEnd"/>
      <w:r w:rsidRPr="00B3074D">
        <w:rPr>
          <w:rFonts w:ascii="Times New Roman" w:hAnsi="Times New Roman" w:cs="Times New Roman"/>
          <w:color w:val="000000" w:themeColor="text1"/>
        </w:rPr>
        <w:t xml:space="preserve"> </w:t>
      </w:r>
      <w:proofErr w:type="spellStart"/>
      <w:r w:rsidRPr="00B3074D">
        <w:rPr>
          <w:rFonts w:ascii="Times New Roman" w:hAnsi="Times New Roman" w:cs="Times New Roman"/>
          <w:color w:val="000000" w:themeColor="text1"/>
        </w:rPr>
        <w:t>AxyPrep</w:t>
      </w:r>
      <w:proofErr w:type="spellEnd"/>
      <w:r w:rsidRPr="00B3074D">
        <w:rPr>
          <w:rFonts w:ascii="Times New Roman" w:hAnsi="Times New Roman" w:cs="Times New Roman"/>
          <w:color w:val="000000" w:themeColor="text1"/>
        </w:rPr>
        <w:t xml:space="preserve"> Mag PCR Clean-up Kit. Following cleaning, sample concentration was checked using a Synergy HTX Take 3 trio plate reader. Samples DNA concentrations were then normalized and combined, and the final library concentration was checked using qPCR. The final library was sent for sequencing at </w:t>
      </w:r>
      <w:proofErr w:type="spellStart"/>
      <w:r w:rsidRPr="00B3074D">
        <w:rPr>
          <w:rFonts w:ascii="Times New Roman" w:hAnsi="Times New Roman" w:cs="Times New Roman"/>
          <w:color w:val="000000" w:themeColor="text1"/>
        </w:rPr>
        <w:t>Psomagen</w:t>
      </w:r>
      <w:proofErr w:type="spellEnd"/>
      <w:r w:rsidRPr="00B3074D">
        <w:rPr>
          <w:rFonts w:ascii="Times New Roman" w:hAnsi="Times New Roman" w:cs="Times New Roman"/>
          <w:color w:val="000000" w:themeColor="text1"/>
        </w:rPr>
        <w:t xml:space="preserve"> genomic sequencing and analysis facility (Rockville, MD) on their NovaSeq6000 using paired end 2 x 250 bp chemistry with a 10% </w:t>
      </w:r>
      <w:proofErr w:type="spellStart"/>
      <w:r w:rsidRPr="00B3074D">
        <w:rPr>
          <w:rFonts w:ascii="Times New Roman" w:hAnsi="Times New Roman" w:cs="Times New Roman"/>
          <w:color w:val="000000" w:themeColor="text1"/>
        </w:rPr>
        <w:t>PhiX</w:t>
      </w:r>
      <w:proofErr w:type="spellEnd"/>
      <w:r w:rsidRPr="00B3074D">
        <w:rPr>
          <w:rFonts w:ascii="Times New Roman" w:hAnsi="Times New Roman" w:cs="Times New Roman"/>
          <w:color w:val="000000" w:themeColor="text1"/>
        </w:rPr>
        <w:t xml:space="preserve"> spike in. Both the fungal and bacterial libraries we sequenced together on a single lane and </w:t>
      </w:r>
      <w:r>
        <w:rPr>
          <w:rFonts w:ascii="Times New Roman" w:hAnsi="Times New Roman" w:cs="Times New Roman"/>
          <w:color w:val="000000" w:themeColor="text1"/>
        </w:rPr>
        <w:t>were</w:t>
      </w:r>
      <w:r w:rsidRPr="00B3074D">
        <w:rPr>
          <w:rFonts w:ascii="Times New Roman" w:hAnsi="Times New Roman" w:cs="Times New Roman"/>
          <w:color w:val="000000" w:themeColor="text1"/>
        </w:rPr>
        <w:t xml:space="preserve"> separated bioinformatically. </w:t>
      </w:r>
    </w:p>
    <w:p w14:paraId="1BAB5B86" w14:textId="77777777" w:rsidR="00A27C6C" w:rsidRDefault="00A27C6C" w:rsidP="00A27C6C">
      <w:pPr>
        <w:spacing w:line="480" w:lineRule="auto"/>
        <w:rPr>
          <w:rFonts w:ascii="Times New Roman" w:hAnsi="Times New Roman" w:cs="Times New Roman"/>
          <w:i/>
          <w:iCs/>
          <w:color w:val="000000" w:themeColor="text1"/>
        </w:rPr>
      </w:pPr>
    </w:p>
    <w:p w14:paraId="310F80FA" w14:textId="1A9D329C" w:rsidR="00A27C6C" w:rsidRDefault="00A27C6C" w:rsidP="00A27C6C">
      <w:pPr>
        <w:spacing w:line="480" w:lineRule="auto"/>
        <w:rPr>
          <w:rFonts w:ascii="Times New Roman" w:hAnsi="Times New Roman" w:cs="Times New Roman"/>
          <w:i/>
          <w:iCs/>
          <w:color w:val="000000" w:themeColor="text1"/>
        </w:rPr>
      </w:pPr>
      <w:r>
        <w:rPr>
          <w:rFonts w:ascii="Times New Roman" w:hAnsi="Times New Roman" w:cs="Times New Roman"/>
          <w:i/>
          <w:iCs/>
          <w:color w:val="000000" w:themeColor="text1"/>
        </w:rPr>
        <w:t xml:space="preserve">Bioinformatic processing of sequence </w:t>
      </w:r>
      <w:commentRangeStart w:id="0"/>
      <w:r>
        <w:rPr>
          <w:rFonts w:ascii="Times New Roman" w:hAnsi="Times New Roman" w:cs="Times New Roman"/>
          <w:i/>
          <w:iCs/>
          <w:color w:val="000000" w:themeColor="text1"/>
        </w:rPr>
        <w:t>data</w:t>
      </w:r>
      <w:commentRangeEnd w:id="0"/>
      <w:r>
        <w:rPr>
          <w:rStyle w:val="CommentReference"/>
        </w:rPr>
        <w:commentReference w:id="0"/>
      </w:r>
    </w:p>
    <w:p w14:paraId="33852ECA" w14:textId="77777777" w:rsidR="00A27C6C" w:rsidRDefault="00A27C6C" w:rsidP="00A27C6C">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i/>
          <w:iCs/>
          <w:color w:val="000000" w:themeColor="text1"/>
          <w:shd w:val="clear" w:color="auto" w:fill="FFFFFF"/>
        </w:rPr>
        <w:t>Statistical analysis</w:t>
      </w:r>
      <w:r w:rsidRPr="00B3074D">
        <w:rPr>
          <w:rFonts w:ascii="Times New Roman" w:hAnsi="Times New Roman" w:cs="Times New Roman"/>
          <w:color w:val="000000" w:themeColor="text1"/>
          <w:shd w:val="clear" w:color="auto" w:fill="FFFFFF"/>
        </w:rPr>
        <w:t xml:space="preserve"> </w:t>
      </w:r>
    </w:p>
    <w:p w14:paraId="4B60E0E2" w14:textId="5D84181A" w:rsidR="00A27C6C" w:rsidRPr="00B3074D" w:rsidRDefault="00A27C6C" w:rsidP="00A27C6C">
      <w:pPr>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lastRenderedPageBreak/>
        <w:t xml:space="preserve">While soil samples collected from within the same treatment plot could be considered </w:t>
      </w:r>
      <w:proofErr w:type="spellStart"/>
      <w:r w:rsidRPr="00B3074D">
        <w:rPr>
          <w:rFonts w:ascii="Times New Roman" w:hAnsi="Times New Roman" w:cs="Times New Roman"/>
          <w:color w:val="000000" w:themeColor="text1"/>
          <w:shd w:val="clear" w:color="auto" w:fill="FFFFFF"/>
        </w:rPr>
        <w:t>pseudoreplication</w:t>
      </w:r>
      <w:proofErr w:type="spellEnd"/>
      <w:r w:rsidRPr="00B3074D">
        <w:rPr>
          <w:rFonts w:ascii="Times New Roman" w:hAnsi="Times New Roman" w:cs="Times New Roman"/>
          <w:color w:val="000000" w:themeColor="text1"/>
          <w:shd w:val="clear" w:color="auto" w:fill="FFFFFF"/>
        </w:rPr>
        <w:t xml:space="preserve"> and would</w:t>
      </w:r>
      <w:r>
        <w:rPr>
          <w:rFonts w:ascii="Times New Roman" w:hAnsi="Times New Roman" w:cs="Times New Roman"/>
          <w:color w:val="000000" w:themeColor="text1"/>
          <w:shd w:val="clear" w:color="auto" w:fill="FFFFFF"/>
        </w:rPr>
        <w:t xml:space="preserve"> thus</w:t>
      </w:r>
      <w:r w:rsidRPr="00B3074D">
        <w:rPr>
          <w:rFonts w:ascii="Times New Roman" w:hAnsi="Times New Roman" w:cs="Times New Roman"/>
          <w:color w:val="000000" w:themeColor="text1"/>
          <w:shd w:val="clear" w:color="auto" w:fill="FFFFFF"/>
        </w:rPr>
        <w:t xml:space="preserve"> violate the assumption of independent observations, we argue that </w:t>
      </w:r>
      <w:proofErr w:type="spellStart"/>
      <w:r w:rsidRPr="00B3074D">
        <w:rPr>
          <w:rFonts w:ascii="Times New Roman" w:hAnsi="Times New Roman" w:cs="Times New Roman"/>
          <w:color w:val="000000" w:themeColor="text1"/>
          <w:shd w:val="clear" w:color="auto" w:fill="FFFFFF"/>
        </w:rPr>
        <w:t>pseudoreplication</w:t>
      </w:r>
      <w:proofErr w:type="spellEnd"/>
      <w:r w:rsidRPr="00B3074D">
        <w:rPr>
          <w:rFonts w:ascii="Times New Roman" w:hAnsi="Times New Roman" w:cs="Times New Roman"/>
          <w:color w:val="000000" w:themeColor="text1"/>
          <w:shd w:val="clear" w:color="auto" w:fill="FFFFFF"/>
        </w:rPr>
        <w:t xml:space="preserve"> is scale dependent, and the scale that microbes operate on would allow us to assume independence among samples collected from the same treatment plot. With aboveground vegetation </w:t>
      </w:r>
      <w:r>
        <w:rPr>
          <w:rFonts w:ascii="Times New Roman" w:hAnsi="Times New Roman" w:cs="Times New Roman"/>
          <w:color w:val="000000" w:themeColor="text1"/>
          <w:shd w:val="clear" w:color="auto" w:fill="FFFFFF"/>
        </w:rPr>
        <w:t>acting as a</w:t>
      </w:r>
      <w:r w:rsidRPr="00B3074D">
        <w:rPr>
          <w:rFonts w:ascii="Times New Roman" w:hAnsi="Times New Roman" w:cs="Times New Roman"/>
          <w:color w:val="000000" w:themeColor="text1"/>
          <w:shd w:val="clear" w:color="auto" w:fill="FFFFFF"/>
        </w:rPr>
        <w:t xml:space="preserve"> driver of belowground function and vegetation being heterogeneous meter to meter within a single treatment plot, we decided to treat each composite soil sample as an independent sample instead of averaging samples within a plot and losing the ability to assess variation within a treatment plot.</w:t>
      </w:r>
      <w:r w:rsidRPr="007C3D52">
        <w:rPr>
          <w:rFonts w:ascii="Times New Roman" w:hAnsi="Times New Roman" w:cs="Times New Roman"/>
        </w:rPr>
        <w:t xml:space="preserve"> </w:t>
      </w:r>
      <w:r w:rsidRPr="00B3074D">
        <w:rPr>
          <w:rFonts w:ascii="Times New Roman" w:hAnsi="Times New Roman" w:cs="Times New Roman"/>
        </w:rPr>
        <w:t xml:space="preserve">All statistical analyses were carried out in R </w:t>
      </w:r>
      <w:r>
        <w:rPr>
          <w:rFonts w:ascii="Times New Roman" w:hAnsi="Times New Roman" w:cs="Times New Roman"/>
        </w:rPr>
        <w:t>V4.1.1 - “Kick Things”</w:t>
      </w:r>
      <w:r w:rsidRPr="00B3074D">
        <w:rPr>
          <w:rFonts w:ascii="Times New Roman" w:hAnsi="Times New Roman" w:cs="Times New Roman"/>
        </w:rPr>
        <w:t xml:space="preserve"> </w:t>
      </w:r>
      <w:r w:rsidRPr="00B3074D">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{"citationItems":[{"id":"ITEM-1","itemData":{"author":[{"dropping-particle":"","family":"R Development Core Team","given":"","non-dropping-particle":"","parse-names":false,"suffix":""}],"container-title":"R Foundation for Statistical Computing","id":"ITEM-1","issued":{"date-parts":[["2020"]]},"publisher-place":"Vienna, Austria","title":"A Language and Environment for Statistical Computing","type":"article"},"uris":["http://www.mendeley.com/documents/?uuid=acdf66e7-899d-435d-a8e8-a56f50a01c98"]}],"mendeley":{"formattedCitation":"(39)","plainTextFormattedCitation":"(39)","previouslyFormattedCitation":"(39)"},"properties":{"noteIndex":0},"schema":"https://github.com/citation-style-language/schema/raw/master/csl-citation.json"}</w:instrText>
      </w:r>
      <w:r w:rsidRPr="00B3074D">
        <w:rPr>
          <w:rFonts w:ascii="Times New Roman" w:hAnsi="Times New Roman" w:cs="Times New Roman"/>
        </w:rPr>
        <w:fldChar w:fldCharType="separate"/>
      </w:r>
      <w:r w:rsidRPr="00B92C04">
        <w:rPr>
          <w:rFonts w:ascii="Times New Roman" w:hAnsi="Times New Roman" w:cs="Times New Roman"/>
          <w:noProof/>
        </w:rPr>
        <w:t>(39)</w:t>
      </w:r>
      <w:r w:rsidRPr="00B3074D">
        <w:rPr>
          <w:rFonts w:ascii="Times New Roman" w:hAnsi="Times New Roman" w:cs="Times New Roman"/>
        </w:rPr>
        <w:fldChar w:fldCharType="end"/>
      </w:r>
      <w:r w:rsidRPr="00B3074D">
        <w:rPr>
          <w:rFonts w:ascii="Times New Roman" w:hAnsi="Times New Roman" w:cs="Times New Roman"/>
        </w:rPr>
        <w:t>.</w:t>
      </w:r>
      <w:r>
        <w:rPr>
          <w:rFonts w:ascii="Times New Roman" w:hAnsi="Times New Roman" w:cs="Times New Roman"/>
        </w:rPr>
        <w:t xml:space="preserve"> </w:t>
      </w:r>
      <w:r>
        <w:rPr>
          <w:rFonts w:ascii="Times New Roman" w:hAnsi="Times New Roman"/>
          <w:color w:val="000000" w:themeColor="text1"/>
          <w:shd w:val="clear" w:color="auto" w:fill="FFFFFF"/>
        </w:rPr>
        <w:t>For all statistical comparisons, we report</w:t>
      </w:r>
      <w:r>
        <w:rPr>
          <w:rFonts w:ascii="Times New Roman" w:hAnsi="Times New Roman" w:cs="Times New Roman"/>
          <w:color w:val="000000" w:themeColor="text1"/>
          <w:shd w:val="clear" w:color="auto" w:fill="FFFFFF"/>
        </w:rPr>
        <w:t xml:space="preserve"> statistical</w:t>
      </w:r>
      <w:r w:rsidRPr="00B3074D">
        <w:rPr>
          <w:rFonts w:ascii="Times New Roman" w:hAnsi="Times New Roman" w:cs="Times New Roman"/>
          <w:color w:val="000000" w:themeColor="text1"/>
          <w:shd w:val="clear" w:color="auto" w:fill="FFFFFF"/>
        </w:rPr>
        <w:t xml:space="preserve"> significance </w:t>
      </w:r>
      <w:r>
        <w:rPr>
          <w:rFonts w:ascii="Times New Roman" w:hAnsi="Times New Roman" w:cs="Times New Roman"/>
          <w:color w:val="000000" w:themeColor="text1"/>
          <w:shd w:val="clear" w:color="auto" w:fill="FFFFFF"/>
        </w:rPr>
        <w:t>at</w:t>
      </w:r>
      <w:r w:rsidRPr="00B3074D">
        <w:rPr>
          <w:rFonts w:ascii="Times New Roman" w:hAnsi="Times New Roman" w:cs="Times New Roman"/>
          <w:color w:val="000000" w:themeColor="text1"/>
          <w:shd w:val="clear" w:color="auto" w:fill="FFFFFF"/>
        </w:rPr>
        <w:t xml:space="preserve"> </w:t>
      </w:r>
      <w:r w:rsidRPr="00B3074D">
        <w:rPr>
          <w:rFonts w:ascii="Times New Roman" w:hAnsi="Times New Roman" w:cs="Times New Roman"/>
          <w:color w:val="000000" w:themeColor="text1"/>
          <w:shd w:val="clear" w:color="auto" w:fill="FFFFFF"/>
        </w:rPr>
        <w:sym w:font="Symbol" w:char="F061"/>
      </w:r>
      <w:r>
        <w:rPr>
          <w:rFonts w:ascii="Times New Roman" w:hAnsi="Times New Roman" w:cs="Times New Roman"/>
          <w:color w:val="000000" w:themeColor="text1"/>
          <w:shd w:val="clear" w:color="auto" w:fill="FFFFFF"/>
        </w:rPr>
        <w:t xml:space="preserve"> </w:t>
      </w:r>
      <w:r w:rsidRPr="00B3074D">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w:t>
      </w:r>
      <w:r w:rsidRPr="00B3074D">
        <w:rPr>
          <w:rFonts w:ascii="Times New Roman" w:hAnsi="Times New Roman" w:cs="Times New Roman"/>
          <w:color w:val="000000" w:themeColor="text1"/>
          <w:shd w:val="clear" w:color="auto" w:fill="FFFFFF"/>
        </w:rPr>
        <w:t>0.05</w:t>
      </w:r>
      <w:r>
        <w:rPr>
          <w:rFonts w:ascii="Times New Roman" w:hAnsi="Times New Roman" w:cs="Times New Roman"/>
          <w:color w:val="000000" w:themeColor="text1"/>
          <w:shd w:val="clear" w:color="auto" w:fill="FFFFFF"/>
        </w:rPr>
        <w:t xml:space="preserve"> and marginal significance at </w:t>
      </w:r>
      <w:r w:rsidRPr="00B3074D">
        <w:rPr>
          <w:rFonts w:ascii="Times New Roman" w:hAnsi="Times New Roman" w:cs="Times New Roman"/>
          <w:color w:val="000000" w:themeColor="text1"/>
          <w:shd w:val="clear" w:color="auto" w:fill="FFFFFF"/>
        </w:rPr>
        <w:sym w:font="Symbol" w:char="F061"/>
      </w:r>
      <w:r>
        <w:rPr>
          <w:rFonts w:ascii="Times New Roman" w:hAnsi="Times New Roman" w:cs="Times New Roman"/>
          <w:color w:val="000000" w:themeColor="text1"/>
          <w:shd w:val="clear" w:color="auto" w:fill="FFFFFF"/>
        </w:rPr>
        <w:t xml:space="preserve"> </w:t>
      </w:r>
      <w:r w:rsidRPr="00B3074D">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w:t>
      </w:r>
      <w:r w:rsidRPr="00B3074D">
        <w:rPr>
          <w:rFonts w:ascii="Times New Roman" w:hAnsi="Times New Roman" w:cs="Times New Roman"/>
          <w:color w:val="000000" w:themeColor="text1"/>
          <w:shd w:val="clear" w:color="auto" w:fill="FFFFFF"/>
        </w:rPr>
        <w:t>0.</w:t>
      </w:r>
      <w:r>
        <w:rPr>
          <w:rFonts w:ascii="Times New Roman" w:hAnsi="Times New Roman" w:cs="Times New Roman"/>
          <w:color w:val="000000" w:themeColor="text1"/>
          <w:shd w:val="clear" w:color="auto" w:fill="FFFFFF"/>
        </w:rPr>
        <w:t xml:space="preserve">1. </w:t>
      </w:r>
    </w:p>
    <w:p w14:paraId="6322949E" w14:textId="77777777" w:rsidR="00E800A0" w:rsidRPr="00E800A0" w:rsidRDefault="00E800A0" w:rsidP="00A27C6C">
      <w:pPr>
        <w:shd w:val="clear" w:color="auto" w:fill="FFFFFF"/>
        <w:spacing w:before="100" w:beforeAutospacing="1" w:after="100" w:afterAutospacing="1"/>
        <w:jc w:val="both"/>
        <w:rPr>
          <w:rFonts w:ascii="Times New Roman" w:eastAsia="Times New Roman" w:hAnsi="Times New Roman" w:cs="Times New Roman"/>
          <w:color w:val="222222"/>
        </w:rPr>
      </w:pPr>
    </w:p>
    <w:p w14:paraId="217C13C8" w14:textId="2CA358D2" w:rsidR="00E800A0" w:rsidRDefault="00E800A0" w:rsidP="00E800A0">
      <w:pPr>
        <w:shd w:val="clear" w:color="auto" w:fill="FFFFFF"/>
        <w:spacing w:before="100" w:beforeAutospacing="1" w:after="100" w:afterAutospacing="1"/>
        <w:ind w:left="360"/>
        <w:jc w:val="both"/>
        <w:rPr>
          <w:rFonts w:ascii="Times New Roman" w:eastAsia="Times New Roman" w:hAnsi="Times New Roman" w:cs="Times New Roman"/>
          <w:color w:val="222222"/>
        </w:rPr>
      </w:pPr>
      <w:r w:rsidRPr="00E800A0">
        <w:rPr>
          <w:rFonts w:ascii="Times New Roman" w:eastAsia="Times New Roman" w:hAnsi="Times New Roman" w:cs="Times New Roman"/>
          <w:b/>
          <w:bCs/>
          <w:color w:val="222222"/>
        </w:rPr>
        <w:t>References</w:t>
      </w:r>
      <w:r w:rsidRPr="00E800A0">
        <w:rPr>
          <w:rFonts w:ascii="Times New Roman" w:eastAsia="Times New Roman" w:hAnsi="Times New Roman" w:cs="Times New Roman"/>
          <w:color w:val="222222"/>
        </w:rPr>
        <w:t xml:space="preserve"> (limited to 60 references, though not strictly enforced)</w:t>
      </w:r>
    </w:p>
    <w:p w14:paraId="619064A1" w14:textId="6CD13D88" w:rsidR="00A27C6C" w:rsidRPr="00A27C6C" w:rsidRDefault="00E800A0" w:rsidP="00A27C6C">
      <w:pPr>
        <w:widowControl w:val="0"/>
        <w:autoSpaceDE w:val="0"/>
        <w:autoSpaceDN w:val="0"/>
        <w:adjustRightInd w:val="0"/>
        <w:spacing w:before="100" w:after="100"/>
        <w:ind w:left="640" w:hanging="640"/>
        <w:rPr>
          <w:rFonts w:ascii="Times New Roman" w:hAnsi="Times New Roman" w:cs="Times New Roman"/>
          <w:noProof/>
        </w:rPr>
      </w:pPr>
      <w:r>
        <w:rPr>
          <w:rFonts w:ascii="Times New Roman" w:eastAsia="Times New Roman" w:hAnsi="Times New Roman" w:cs="Times New Roman"/>
          <w:color w:val="222222"/>
        </w:rPr>
        <w:fldChar w:fldCharType="begin" w:fldLock="1"/>
      </w:r>
      <w:r>
        <w:rPr>
          <w:rFonts w:ascii="Times New Roman" w:eastAsia="Times New Roman" w:hAnsi="Times New Roman" w:cs="Times New Roman"/>
          <w:color w:val="222222"/>
        </w:rPr>
        <w:instrText xml:space="preserve">ADDIN Mendeley Bibliography CSL_BIBLIOGRAPHY </w:instrText>
      </w:r>
      <w:r>
        <w:rPr>
          <w:rFonts w:ascii="Times New Roman" w:eastAsia="Times New Roman" w:hAnsi="Times New Roman" w:cs="Times New Roman"/>
          <w:color w:val="222222"/>
        </w:rPr>
        <w:fldChar w:fldCharType="separate"/>
      </w:r>
      <w:r w:rsidR="00A27C6C" w:rsidRPr="00A27C6C">
        <w:rPr>
          <w:rFonts w:ascii="Times New Roman" w:hAnsi="Times New Roman" w:cs="Times New Roman"/>
          <w:noProof/>
        </w:rPr>
        <w:t xml:space="preserve">1. </w:t>
      </w:r>
      <w:r w:rsidR="00A27C6C" w:rsidRPr="00A27C6C">
        <w:rPr>
          <w:rFonts w:ascii="Times New Roman" w:hAnsi="Times New Roman" w:cs="Times New Roman"/>
          <w:noProof/>
        </w:rPr>
        <w:tab/>
        <w:t>Benbrook CM. 2012. Impacts of genetically engineered crops on pesticide use in the U.S.-the first sixteen years. Environ Sci Eur 24:1–13.</w:t>
      </w:r>
    </w:p>
    <w:p w14:paraId="7B71561E" w14:textId="77777777" w:rsidR="00A27C6C" w:rsidRPr="00A27C6C" w:rsidRDefault="00A27C6C" w:rsidP="00A27C6C">
      <w:pPr>
        <w:widowControl w:val="0"/>
        <w:autoSpaceDE w:val="0"/>
        <w:autoSpaceDN w:val="0"/>
        <w:adjustRightInd w:val="0"/>
        <w:spacing w:before="100" w:after="100"/>
        <w:ind w:left="640" w:hanging="640"/>
        <w:rPr>
          <w:rFonts w:ascii="Times New Roman" w:hAnsi="Times New Roman" w:cs="Times New Roman"/>
          <w:noProof/>
        </w:rPr>
      </w:pPr>
      <w:r w:rsidRPr="00A27C6C">
        <w:rPr>
          <w:rFonts w:ascii="Times New Roman" w:hAnsi="Times New Roman" w:cs="Times New Roman"/>
          <w:noProof/>
        </w:rPr>
        <w:t xml:space="preserve">2. </w:t>
      </w:r>
      <w:r w:rsidRPr="00A27C6C">
        <w:rPr>
          <w:rFonts w:ascii="Times New Roman" w:hAnsi="Times New Roman" w:cs="Times New Roman"/>
          <w:noProof/>
        </w:rPr>
        <w:tab/>
        <w:t>Rose MT, Cavagnaro TR, Scanlan CA, Rose TJ, Vancov T, Kimber S, Kennedy IR, Kookana RS, Van Zwieten L. 2016. Impact of Herbicides on Soil Biology and FunctionAdvances in Agronomy. Elsevier Inc.</w:t>
      </w:r>
    </w:p>
    <w:p w14:paraId="4601B0BD" w14:textId="77777777" w:rsidR="00A27C6C" w:rsidRPr="00A27C6C" w:rsidRDefault="00A27C6C" w:rsidP="00A27C6C">
      <w:pPr>
        <w:widowControl w:val="0"/>
        <w:autoSpaceDE w:val="0"/>
        <w:autoSpaceDN w:val="0"/>
        <w:adjustRightInd w:val="0"/>
        <w:spacing w:before="100" w:after="100"/>
        <w:ind w:left="640" w:hanging="640"/>
        <w:rPr>
          <w:rFonts w:ascii="Times New Roman" w:hAnsi="Times New Roman" w:cs="Times New Roman"/>
          <w:noProof/>
        </w:rPr>
      </w:pPr>
      <w:r w:rsidRPr="00A27C6C">
        <w:rPr>
          <w:rFonts w:ascii="Times New Roman" w:hAnsi="Times New Roman" w:cs="Times New Roman"/>
          <w:noProof/>
        </w:rPr>
        <w:t xml:space="preserve">3. </w:t>
      </w:r>
      <w:r w:rsidRPr="00A27C6C">
        <w:rPr>
          <w:rFonts w:ascii="Times New Roman" w:hAnsi="Times New Roman" w:cs="Times New Roman"/>
          <w:noProof/>
        </w:rPr>
        <w:tab/>
        <w:t>Palm C, Blanco-Canqui H, DeClerck F, Gatere L, Grace P. 2014. Conservation agriculture and ecosystem services: An overview. Agric Ecosyst Environ 187:87–105.</w:t>
      </w:r>
    </w:p>
    <w:p w14:paraId="49E6159B" w14:textId="77777777" w:rsidR="00A27C6C" w:rsidRPr="00A27C6C" w:rsidRDefault="00A27C6C" w:rsidP="00A27C6C">
      <w:pPr>
        <w:widowControl w:val="0"/>
        <w:autoSpaceDE w:val="0"/>
        <w:autoSpaceDN w:val="0"/>
        <w:adjustRightInd w:val="0"/>
        <w:spacing w:before="100" w:after="100"/>
        <w:ind w:left="640" w:hanging="640"/>
        <w:rPr>
          <w:rFonts w:ascii="Times New Roman" w:hAnsi="Times New Roman" w:cs="Times New Roman"/>
          <w:noProof/>
        </w:rPr>
      </w:pPr>
      <w:r w:rsidRPr="00A27C6C">
        <w:rPr>
          <w:rFonts w:ascii="Times New Roman" w:hAnsi="Times New Roman" w:cs="Times New Roman"/>
          <w:noProof/>
        </w:rPr>
        <w:t xml:space="preserve">4. </w:t>
      </w:r>
      <w:r w:rsidRPr="00A27C6C">
        <w:rPr>
          <w:rFonts w:ascii="Times New Roman" w:hAnsi="Times New Roman" w:cs="Times New Roman"/>
          <w:noProof/>
        </w:rPr>
        <w:tab/>
        <w:t>Tu CM, Bollen WB. 1968. Interaction between Paraquat and microbes in soils. Weed Res 8:38–45.</w:t>
      </w:r>
    </w:p>
    <w:p w14:paraId="1AD7B813" w14:textId="77777777" w:rsidR="00A27C6C" w:rsidRPr="00A27C6C" w:rsidRDefault="00A27C6C" w:rsidP="00A27C6C">
      <w:pPr>
        <w:widowControl w:val="0"/>
        <w:autoSpaceDE w:val="0"/>
        <w:autoSpaceDN w:val="0"/>
        <w:adjustRightInd w:val="0"/>
        <w:spacing w:before="100" w:after="100"/>
        <w:ind w:left="640" w:hanging="640"/>
        <w:rPr>
          <w:rFonts w:ascii="Times New Roman" w:hAnsi="Times New Roman" w:cs="Times New Roman"/>
          <w:noProof/>
        </w:rPr>
      </w:pPr>
      <w:r w:rsidRPr="00A27C6C">
        <w:rPr>
          <w:rFonts w:ascii="Times New Roman" w:hAnsi="Times New Roman" w:cs="Times New Roman"/>
          <w:noProof/>
        </w:rPr>
        <w:t xml:space="preserve">5. </w:t>
      </w:r>
      <w:r w:rsidRPr="00A27C6C">
        <w:rPr>
          <w:rFonts w:ascii="Times New Roman" w:hAnsi="Times New Roman" w:cs="Times New Roman"/>
          <w:noProof/>
        </w:rPr>
        <w:tab/>
        <w:t>Nguyen DB, Rose MT, Rose TJ, Morris SG, van Zwieten L. 2016. Impact of glyphosate on soil microbial biomass and respiration: A meta-analysis. Soil Biol Biochem 92:50–57.</w:t>
      </w:r>
    </w:p>
    <w:p w14:paraId="60BD5F6E" w14:textId="77777777" w:rsidR="00A27C6C" w:rsidRPr="00A27C6C" w:rsidRDefault="00A27C6C" w:rsidP="00A27C6C">
      <w:pPr>
        <w:widowControl w:val="0"/>
        <w:autoSpaceDE w:val="0"/>
        <w:autoSpaceDN w:val="0"/>
        <w:adjustRightInd w:val="0"/>
        <w:spacing w:before="100" w:after="100"/>
        <w:ind w:left="640" w:hanging="640"/>
        <w:rPr>
          <w:rFonts w:ascii="Times New Roman" w:hAnsi="Times New Roman" w:cs="Times New Roman"/>
          <w:noProof/>
        </w:rPr>
      </w:pPr>
      <w:r w:rsidRPr="00A27C6C">
        <w:rPr>
          <w:rFonts w:ascii="Times New Roman" w:hAnsi="Times New Roman" w:cs="Times New Roman"/>
          <w:noProof/>
        </w:rPr>
        <w:t xml:space="preserve">6. </w:t>
      </w:r>
      <w:r w:rsidRPr="00A27C6C">
        <w:rPr>
          <w:rFonts w:ascii="Times New Roman" w:hAnsi="Times New Roman" w:cs="Times New Roman"/>
          <w:noProof/>
        </w:rPr>
        <w:tab/>
        <w:t>Álvarez-Martín A, Hilton SL, Bending GD, Rodríguez-Cruz MS, Sánchez-Martín MJ. 2016. Changes in activity and structure of the soil microbial community after application of azoxystrobin or pirimicarb and an organic amendment to an agricultural soil. Appl Soil Ecol 106:47–57.</w:t>
      </w:r>
    </w:p>
    <w:p w14:paraId="5C02F772" w14:textId="77777777" w:rsidR="00A27C6C" w:rsidRPr="00A27C6C" w:rsidRDefault="00A27C6C" w:rsidP="00A27C6C">
      <w:pPr>
        <w:widowControl w:val="0"/>
        <w:autoSpaceDE w:val="0"/>
        <w:autoSpaceDN w:val="0"/>
        <w:adjustRightInd w:val="0"/>
        <w:spacing w:before="100" w:after="100"/>
        <w:ind w:left="640" w:hanging="640"/>
        <w:rPr>
          <w:rFonts w:ascii="Times New Roman" w:hAnsi="Times New Roman" w:cs="Times New Roman"/>
          <w:noProof/>
        </w:rPr>
      </w:pPr>
      <w:r w:rsidRPr="00A27C6C">
        <w:rPr>
          <w:rFonts w:ascii="Times New Roman" w:hAnsi="Times New Roman" w:cs="Times New Roman"/>
          <w:noProof/>
        </w:rPr>
        <w:t xml:space="preserve">7. </w:t>
      </w:r>
      <w:r w:rsidRPr="00A27C6C">
        <w:rPr>
          <w:rFonts w:ascii="Times New Roman" w:hAnsi="Times New Roman" w:cs="Times New Roman"/>
          <w:noProof/>
        </w:rPr>
        <w:tab/>
        <w:t>Liao H, Li X, Yang Q, Bai Y, Cui P, Wen C, Liu C, Chen Z. 2021. Herbicide selection promotes antibiotic resistance in soil microbiomes.</w:t>
      </w:r>
    </w:p>
    <w:p w14:paraId="78DBAD3F" w14:textId="77777777" w:rsidR="00A27C6C" w:rsidRPr="00A27C6C" w:rsidRDefault="00A27C6C" w:rsidP="00A27C6C">
      <w:pPr>
        <w:widowControl w:val="0"/>
        <w:autoSpaceDE w:val="0"/>
        <w:autoSpaceDN w:val="0"/>
        <w:adjustRightInd w:val="0"/>
        <w:spacing w:before="100" w:after="100"/>
        <w:ind w:left="640" w:hanging="640"/>
        <w:rPr>
          <w:rFonts w:ascii="Times New Roman" w:hAnsi="Times New Roman" w:cs="Times New Roman"/>
          <w:noProof/>
        </w:rPr>
      </w:pPr>
      <w:r w:rsidRPr="00A27C6C">
        <w:rPr>
          <w:rFonts w:ascii="Times New Roman" w:hAnsi="Times New Roman" w:cs="Times New Roman"/>
          <w:noProof/>
        </w:rPr>
        <w:t xml:space="preserve">8. </w:t>
      </w:r>
      <w:r w:rsidRPr="00A27C6C">
        <w:rPr>
          <w:rFonts w:ascii="Times New Roman" w:hAnsi="Times New Roman" w:cs="Times New Roman"/>
          <w:noProof/>
        </w:rPr>
        <w:tab/>
        <w:t>de Souza R, Ambrosini A, Passaglia LMP. 2015. Plant growth-promoting bacteria as inoculants in agricultural soils. Genet Mol Biol 38:401–419.</w:t>
      </w:r>
    </w:p>
    <w:p w14:paraId="1E924C1D" w14:textId="77777777" w:rsidR="00A27C6C" w:rsidRPr="00A27C6C" w:rsidRDefault="00A27C6C" w:rsidP="00A27C6C">
      <w:pPr>
        <w:widowControl w:val="0"/>
        <w:autoSpaceDE w:val="0"/>
        <w:autoSpaceDN w:val="0"/>
        <w:adjustRightInd w:val="0"/>
        <w:spacing w:before="100" w:after="100"/>
        <w:ind w:left="640" w:hanging="640"/>
        <w:rPr>
          <w:rFonts w:ascii="Times New Roman" w:hAnsi="Times New Roman" w:cs="Times New Roman"/>
          <w:noProof/>
        </w:rPr>
      </w:pPr>
      <w:r w:rsidRPr="00A27C6C">
        <w:rPr>
          <w:rFonts w:ascii="Times New Roman" w:hAnsi="Times New Roman" w:cs="Times New Roman"/>
          <w:noProof/>
        </w:rPr>
        <w:t xml:space="preserve">9. </w:t>
      </w:r>
      <w:r w:rsidRPr="00A27C6C">
        <w:rPr>
          <w:rFonts w:ascii="Times New Roman" w:hAnsi="Times New Roman" w:cs="Times New Roman"/>
          <w:noProof/>
        </w:rPr>
        <w:tab/>
        <w:t>Durán P, Thiergart T, Garrido-Oter R, Agler M, Kemen E, Schulze-Lefert P, Hacquard S. 2018. Microbial Interkingdom Interactions in Roots Promote Arabidopsis Survival. Cell 175:973–983.</w:t>
      </w:r>
    </w:p>
    <w:p w14:paraId="6D7EC2AF" w14:textId="77777777" w:rsidR="00A27C6C" w:rsidRPr="00A27C6C" w:rsidRDefault="00A27C6C" w:rsidP="00A27C6C">
      <w:pPr>
        <w:widowControl w:val="0"/>
        <w:autoSpaceDE w:val="0"/>
        <w:autoSpaceDN w:val="0"/>
        <w:adjustRightInd w:val="0"/>
        <w:spacing w:before="100" w:after="100"/>
        <w:ind w:left="640" w:hanging="640"/>
        <w:rPr>
          <w:rFonts w:ascii="Times New Roman" w:hAnsi="Times New Roman" w:cs="Times New Roman"/>
          <w:noProof/>
        </w:rPr>
      </w:pPr>
      <w:r w:rsidRPr="00A27C6C">
        <w:rPr>
          <w:rFonts w:ascii="Times New Roman" w:hAnsi="Times New Roman" w:cs="Times New Roman"/>
          <w:noProof/>
        </w:rPr>
        <w:t xml:space="preserve">10. </w:t>
      </w:r>
      <w:r w:rsidRPr="00A27C6C">
        <w:rPr>
          <w:rFonts w:ascii="Times New Roman" w:hAnsi="Times New Roman" w:cs="Times New Roman"/>
          <w:noProof/>
        </w:rPr>
        <w:tab/>
        <w:t>Chen C., Condron L., Davis M., Sherlock R. 2002. Phosphorus dynamics in the rhizosphere of perennial ryegrass (Lolium perenne L.) and radiata pine (Pinus radiata D. Don.). Soil Biol Biochem 34:487–499.</w:t>
      </w:r>
    </w:p>
    <w:p w14:paraId="32FF9EB9" w14:textId="77777777" w:rsidR="00A27C6C" w:rsidRPr="00A27C6C" w:rsidRDefault="00A27C6C" w:rsidP="00A27C6C">
      <w:pPr>
        <w:widowControl w:val="0"/>
        <w:autoSpaceDE w:val="0"/>
        <w:autoSpaceDN w:val="0"/>
        <w:adjustRightInd w:val="0"/>
        <w:spacing w:before="100" w:after="100"/>
        <w:ind w:left="640" w:hanging="640"/>
        <w:rPr>
          <w:rFonts w:ascii="Times New Roman" w:hAnsi="Times New Roman" w:cs="Times New Roman"/>
          <w:noProof/>
        </w:rPr>
      </w:pPr>
      <w:r w:rsidRPr="00A27C6C">
        <w:rPr>
          <w:rFonts w:ascii="Times New Roman" w:hAnsi="Times New Roman" w:cs="Times New Roman"/>
          <w:noProof/>
        </w:rPr>
        <w:t xml:space="preserve">11. </w:t>
      </w:r>
      <w:r w:rsidRPr="00A27C6C">
        <w:rPr>
          <w:rFonts w:ascii="Times New Roman" w:hAnsi="Times New Roman" w:cs="Times New Roman"/>
          <w:noProof/>
        </w:rPr>
        <w:tab/>
        <w:t>Richardson AE, Barea J-M, McNeill AM, Prigent-Combaret C. 2009. Acquisition of phosphorus and nitrogen in the rhizosphere and plant growth promotion by microorganisms. Plant Soil 321:305–339.</w:t>
      </w:r>
    </w:p>
    <w:p w14:paraId="1378EF75" w14:textId="77777777" w:rsidR="00A27C6C" w:rsidRPr="00A27C6C" w:rsidRDefault="00A27C6C" w:rsidP="00A27C6C">
      <w:pPr>
        <w:widowControl w:val="0"/>
        <w:autoSpaceDE w:val="0"/>
        <w:autoSpaceDN w:val="0"/>
        <w:adjustRightInd w:val="0"/>
        <w:spacing w:before="100" w:after="100"/>
        <w:ind w:left="640" w:hanging="640"/>
        <w:rPr>
          <w:rFonts w:ascii="Times New Roman" w:hAnsi="Times New Roman" w:cs="Times New Roman"/>
          <w:noProof/>
        </w:rPr>
      </w:pPr>
      <w:r w:rsidRPr="00A27C6C">
        <w:rPr>
          <w:rFonts w:ascii="Times New Roman" w:hAnsi="Times New Roman" w:cs="Times New Roman"/>
          <w:noProof/>
        </w:rPr>
        <w:lastRenderedPageBreak/>
        <w:t xml:space="preserve">12. </w:t>
      </w:r>
      <w:r w:rsidRPr="00A27C6C">
        <w:rPr>
          <w:rFonts w:ascii="Times New Roman" w:hAnsi="Times New Roman" w:cs="Times New Roman"/>
          <w:noProof/>
        </w:rPr>
        <w:tab/>
        <w:t>Richardson AE, Simpson RJ. 2011. Soil Microorganisms Mediating Phosphorus Availability Update on Microbial Phosphorus. Plant Physiol 156:989–996.</w:t>
      </w:r>
    </w:p>
    <w:p w14:paraId="21872396" w14:textId="77777777" w:rsidR="00A27C6C" w:rsidRPr="00A27C6C" w:rsidRDefault="00A27C6C" w:rsidP="00A27C6C">
      <w:pPr>
        <w:widowControl w:val="0"/>
        <w:autoSpaceDE w:val="0"/>
        <w:autoSpaceDN w:val="0"/>
        <w:adjustRightInd w:val="0"/>
        <w:spacing w:before="100" w:after="100"/>
        <w:ind w:left="640" w:hanging="640"/>
        <w:rPr>
          <w:rFonts w:ascii="Times New Roman" w:hAnsi="Times New Roman" w:cs="Times New Roman"/>
          <w:noProof/>
        </w:rPr>
      </w:pPr>
      <w:r w:rsidRPr="00A27C6C">
        <w:rPr>
          <w:rFonts w:ascii="Times New Roman" w:hAnsi="Times New Roman" w:cs="Times New Roman"/>
          <w:noProof/>
        </w:rPr>
        <w:t xml:space="preserve">13. </w:t>
      </w:r>
      <w:r w:rsidRPr="00A27C6C">
        <w:rPr>
          <w:rFonts w:ascii="Times New Roman" w:hAnsi="Times New Roman" w:cs="Times New Roman"/>
          <w:noProof/>
        </w:rPr>
        <w:tab/>
        <w:t>Garcia J, Kao-Kniffin J. 2018. Microbial Group Dynamics in Plant Rhizospheres and Their Implications on Nutrient Cycling. Front Microbiol 9:1–7.</w:t>
      </w:r>
    </w:p>
    <w:p w14:paraId="586D014A" w14:textId="77777777" w:rsidR="00A27C6C" w:rsidRPr="00A27C6C" w:rsidRDefault="00A27C6C" w:rsidP="00A27C6C">
      <w:pPr>
        <w:widowControl w:val="0"/>
        <w:autoSpaceDE w:val="0"/>
        <w:autoSpaceDN w:val="0"/>
        <w:adjustRightInd w:val="0"/>
        <w:spacing w:before="100" w:after="100"/>
        <w:ind w:left="640" w:hanging="640"/>
        <w:rPr>
          <w:rFonts w:ascii="Times New Roman" w:hAnsi="Times New Roman" w:cs="Times New Roman"/>
          <w:noProof/>
        </w:rPr>
      </w:pPr>
      <w:r w:rsidRPr="00A27C6C">
        <w:rPr>
          <w:rFonts w:ascii="Times New Roman" w:hAnsi="Times New Roman" w:cs="Times New Roman"/>
          <w:noProof/>
        </w:rPr>
        <w:t xml:space="preserve">14. </w:t>
      </w:r>
      <w:r w:rsidRPr="00A27C6C">
        <w:rPr>
          <w:rFonts w:ascii="Times New Roman" w:hAnsi="Times New Roman" w:cs="Times New Roman"/>
          <w:noProof/>
        </w:rPr>
        <w:tab/>
        <w:t>Sandhu HS, Wratten SD, Cullen R, Case B. 2008. The future of farming: The value of ecosystem services in conventional and organic arable land. An experimental approach. Ecol Econ 64:835–848.</w:t>
      </w:r>
    </w:p>
    <w:p w14:paraId="68D75EE1" w14:textId="77777777" w:rsidR="00A27C6C" w:rsidRPr="00A27C6C" w:rsidRDefault="00A27C6C" w:rsidP="00A27C6C">
      <w:pPr>
        <w:widowControl w:val="0"/>
        <w:autoSpaceDE w:val="0"/>
        <w:autoSpaceDN w:val="0"/>
        <w:adjustRightInd w:val="0"/>
        <w:spacing w:before="100" w:after="100"/>
        <w:ind w:left="640" w:hanging="640"/>
        <w:rPr>
          <w:rFonts w:ascii="Times New Roman" w:hAnsi="Times New Roman" w:cs="Times New Roman"/>
          <w:noProof/>
        </w:rPr>
      </w:pPr>
      <w:r w:rsidRPr="00A27C6C">
        <w:rPr>
          <w:rFonts w:ascii="Times New Roman" w:hAnsi="Times New Roman" w:cs="Times New Roman"/>
          <w:noProof/>
        </w:rPr>
        <w:t xml:space="preserve">15. </w:t>
      </w:r>
      <w:r w:rsidRPr="00A27C6C">
        <w:rPr>
          <w:rFonts w:ascii="Times New Roman" w:hAnsi="Times New Roman" w:cs="Times New Roman"/>
          <w:noProof/>
        </w:rPr>
        <w:tab/>
        <w:t>Imfeld G, Vuilleumier S. 2012. Measuring the effects of pesticides on bacterial communities in soil: A critical review. Eur J Soil Biol 49:22–30.</w:t>
      </w:r>
    </w:p>
    <w:p w14:paraId="295FC644" w14:textId="77777777" w:rsidR="00A27C6C" w:rsidRPr="00A27C6C" w:rsidRDefault="00A27C6C" w:rsidP="00A27C6C">
      <w:pPr>
        <w:widowControl w:val="0"/>
        <w:autoSpaceDE w:val="0"/>
        <w:autoSpaceDN w:val="0"/>
        <w:adjustRightInd w:val="0"/>
        <w:spacing w:before="100" w:after="100"/>
        <w:ind w:left="640" w:hanging="640"/>
        <w:rPr>
          <w:rFonts w:ascii="Times New Roman" w:hAnsi="Times New Roman" w:cs="Times New Roman"/>
          <w:noProof/>
        </w:rPr>
      </w:pPr>
      <w:r w:rsidRPr="00A27C6C">
        <w:rPr>
          <w:rFonts w:ascii="Times New Roman" w:hAnsi="Times New Roman" w:cs="Times New Roman"/>
          <w:noProof/>
        </w:rPr>
        <w:t xml:space="preserve">16. </w:t>
      </w:r>
      <w:r w:rsidRPr="00A27C6C">
        <w:rPr>
          <w:rFonts w:ascii="Times New Roman" w:hAnsi="Times New Roman" w:cs="Times New Roman"/>
          <w:noProof/>
        </w:rPr>
        <w:tab/>
        <w:t>Bünemann EK, Schwenke GD, Van Zwieten L. 2006. Impact of agricultural inputs on soil organisms - A review. Aust J Soil Res 44:379–406.</w:t>
      </w:r>
    </w:p>
    <w:p w14:paraId="5A45E117" w14:textId="77777777" w:rsidR="00A27C6C" w:rsidRPr="00A27C6C" w:rsidRDefault="00A27C6C" w:rsidP="00A27C6C">
      <w:pPr>
        <w:widowControl w:val="0"/>
        <w:autoSpaceDE w:val="0"/>
        <w:autoSpaceDN w:val="0"/>
        <w:adjustRightInd w:val="0"/>
        <w:spacing w:before="100" w:after="100"/>
        <w:ind w:left="640" w:hanging="640"/>
        <w:rPr>
          <w:rFonts w:ascii="Times New Roman" w:hAnsi="Times New Roman" w:cs="Times New Roman"/>
          <w:noProof/>
        </w:rPr>
      </w:pPr>
      <w:r w:rsidRPr="00A27C6C">
        <w:rPr>
          <w:rFonts w:ascii="Times New Roman" w:hAnsi="Times New Roman" w:cs="Times New Roman"/>
          <w:noProof/>
        </w:rPr>
        <w:t xml:space="preserve">17. </w:t>
      </w:r>
      <w:r w:rsidRPr="00A27C6C">
        <w:rPr>
          <w:rFonts w:ascii="Times New Roman" w:hAnsi="Times New Roman" w:cs="Times New Roman"/>
          <w:noProof/>
        </w:rPr>
        <w:tab/>
        <w:t>Puglisi E. 2017. Response of microbial organisms (aquatic and terrestrial) to pesticides. EFSA Support Publ 9.</w:t>
      </w:r>
    </w:p>
    <w:p w14:paraId="45D906A6" w14:textId="77777777" w:rsidR="00A27C6C" w:rsidRPr="00A27C6C" w:rsidRDefault="00A27C6C" w:rsidP="00A27C6C">
      <w:pPr>
        <w:widowControl w:val="0"/>
        <w:autoSpaceDE w:val="0"/>
        <w:autoSpaceDN w:val="0"/>
        <w:adjustRightInd w:val="0"/>
        <w:spacing w:before="100" w:after="100"/>
        <w:ind w:left="640" w:hanging="640"/>
        <w:rPr>
          <w:rFonts w:ascii="Times New Roman" w:hAnsi="Times New Roman" w:cs="Times New Roman"/>
          <w:noProof/>
        </w:rPr>
      </w:pPr>
      <w:r w:rsidRPr="00A27C6C">
        <w:rPr>
          <w:rFonts w:ascii="Times New Roman" w:hAnsi="Times New Roman" w:cs="Times New Roman"/>
          <w:noProof/>
        </w:rPr>
        <w:t xml:space="preserve">18. </w:t>
      </w:r>
      <w:r w:rsidRPr="00A27C6C">
        <w:rPr>
          <w:rFonts w:ascii="Times New Roman" w:hAnsi="Times New Roman" w:cs="Times New Roman"/>
          <w:noProof/>
        </w:rPr>
        <w:tab/>
        <w:t>Thiour-Mauprivez C, Martin-Laurent F, Calvayrac C, Barthelmebs L. 2019. Effects of herbicide on non-target microorganisms: Towards a new class of biomarkers? Sci Total Environ 684:314–325.</w:t>
      </w:r>
    </w:p>
    <w:p w14:paraId="31E0D93C" w14:textId="77777777" w:rsidR="00A27C6C" w:rsidRPr="00A27C6C" w:rsidRDefault="00A27C6C" w:rsidP="00A27C6C">
      <w:pPr>
        <w:widowControl w:val="0"/>
        <w:autoSpaceDE w:val="0"/>
        <w:autoSpaceDN w:val="0"/>
        <w:adjustRightInd w:val="0"/>
        <w:spacing w:before="100" w:after="100"/>
        <w:ind w:left="640" w:hanging="640"/>
        <w:rPr>
          <w:rFonts w:ascii="Times New Roman" w:hAnsi="Times New Roman" w:cs="Times New Roman"/>
          <w:noProof/>
        </w:rPr>
      </w:pPr>
      <w:r w:rsidRPr="00A27C6C">
        <w:rPr>
          <w:rFonts w:ascii="Times New Roman" w:hAnsi="Times New Roman" w:cs="Times New Roman"/>
          <w:noProof/>
        </w:rPr>
        <w:t xml:space="preserve">19. </w:t>
      </w:r>
      <w:r w:rsidRPr="00A27C6C">
        <w:rPr>
          <w:rFonts w:ascii="Times New Roman" w:hAnsi="Times New Roman" w:cs="Times New Roman"/>
          <w:noProof/>
        </w:rPr>
        <w:tab/>
        <w:t>Weidenhamer JD, Callaway RM. 2010. Direct and Indirect Effects of Invasive Plants on Soil Chemistry and Ecosystem Function. J Chem Ecol 36:59–69.</w:t>
      </w:r>
    </w:p>
    <w:p w14:paraId="19FA9EDA" w14:textId="77777777" w:rsidR="00A27C6C" w:rsidRPr="00A27C6C" w:rsidRDefault="00A27C6C" w:rsidP="00A27C6C">
      <w:pPr>
        <w:widowControl w:val="0"/>
        <w:autoSpaceDE w:val="0"/>
        <w:autoSpaceDN w:val="0"/>
        <w:adjustRightInd w:val="0"/>
        <w:spacing w:before="100" w:after="100"/>
        <w:ind w:left="640" w:hanging="640"/>
        <w:rPr>
          <w:rFonts w:ascii="Times New Roman" w:hAnsi="Times New Roman" w:cs="Times New Roman"/>
          <w:noProof/>
        </w:rPr>
      </w:pPr>
      <w:r w:rsidRPr="00A27C6C">
        <w:rPr>
          <w:rFonts w:ascii="Times New Roman" w:hAnsi="Times New Roman" w:cs="Times New Roman"/>
          <w:noProof/>
        </w:rPr>
        <w:t xml:space="preserve">20. </w:t>
      </w:r>
      <w:r w:rsidRPr="00A27C6C">
        <w:rPr>
          <w:rFonts w:ascii="Times New Roman" w:hAnsi="Times New Roman" w:cs="Times New Roman"/>
          <w:noProof/>
        </w:rPr>
        <w:tab/>
        <w:t>Lekberg Y, Wagner V, Rummel A, McLeod M, Ramsey PW. 2017. Strong indirect herbicide effects on mycorrhizal associations through plant community shifts and secondary invasions. Ecol Appl.</w:t>
      </w:r>
    </w:p>
    <w:p w14:paraId="3EACD2AF" w14:textId="77777777" w:rsidR="00A27C6C" w:rsidRPr="00A27C6C" w:rsidRDefault="00A27C6C" w:rsidP="00A27C6C">
      <w:pPr>
        <w:widowControl w:val="0"/>
        <w:autoSpaceDE w:val="0"/>
        <w:autoSpaceDN w:val="0"/>
        <w:adjustRightInd w:val="0"/>
        <w:spacing w:before="100" w:after="100"/>
        <w:ind w:left="640" w:hanging="640"/>
        <w:rPr>
          <w:rFonts w:ascii="Times New Roman" w:hAnsi="Times New Roman" w:cs="Times New Roman"/>
          <w:noProof/>
        </w:rPr>
      </w:pPr>
      <w:r w:rsidRPr="00A27C6C">
        <w:rPr>
          <w:rFonts w:ascii="Times New Roman" w:hAnsi="Times New Roman" w:cs="Times New Roman"/>
          <w:noProof/>
        </w:rPr>
        <w:t xml:space="preserve">21. </w:t>
      </w:r>
      <w:r w:rsidRPr="00A27C6C">
        <w:rPr>
          <w:rFonts w:ascii="Times New Roman" w:hAnsi="Times New Roman" w:cs="Times New Roman"/>
          <w:noProof/>
        </w:rPr>
        <w:tab/>
        <w:t>Hernández M, Jia Z, Conrad R, Seeger M. 2011. Simazine application inhibits nitrification and changes the ammonia-oxidizing bacterial communities in a fertilized agricultural soil. FEMS Microbiol Ecol 78:511–519.</w:t>
      </w:r>
    </w:p>
    <w:p w14:paraId="071B53FA" w14:textId="77777777" w:rsidR="00A27C6C" w:rsidRPr="00A27C6C" w:rsidRDefault="00A27C6C" w:rsidP="00A27C6C">
      <w:pPr>
        <w:widowControl w:val="0"/>
        <w:autoSpaceDE w:val="0"/>
        <w:autoSpaceDN w:val="0"/>
        <w:adjustRightInd w:val="0"/>
        <w:spacing w:before="100" w:after="100"/>
        <w:ind w:left="640" w:hanging="640"/>
        <w:rPr>
          <w:rFonts w:ascii="Times New Roman" w:hAnsi="Times New Roman" w:cs="Times New Roman"/>
          <w:noProof/>
        </w:rPr>
      </w:pPr>
      <w:r w:rsidRPr="00A27C6C">
        <w:rPr>
          <w:rFonts w:ascii="Times New Roman" w:hAnsi="Times New Roman" w:cs="Times New Roman"/>
          <w:noProof/>
        </w:rPr>
        <w:t xml:space="preserve">22. </w:t>
      </w:r>
      <w:r w:rsidRPr="00A27C6C">
        <w:rPr>
          <w:rFonts w:ascii="Times New Roman" w:hAnsi="Times New Roman" w:cs="Times New Roman"/>
          <w:noProof/>
        </w:rPr>
        <w:tab/>
        <w:t>Brempong MB, Norton U, Norton JB. 2019. Compost and soil moisture effects on seasonal carbon and nitrogen dynamics, greenhouse gas fluxes and global warming potential of semi-arid soils. Int J Recycl Org Waste Agric 8:367–376.</w:t>
      </w:r>
    </w:p>
    <w:p w14:paraId="3E714D7A" w14:textId="77777777" w:rsidR="00A27C6C" w:rsidRPr="00A27C6C" w:rsidRDefault="00A27C6C" w:rsidP="00A27C6C">
      <w:pPr>
        <w:widowControl w:val="0"/>
        <w:autoSpaceDE w:val="0"/>
        <w:autoSpaceDN w:val="0"/>
        <w:adjustRightInd w:val="0"/>
        <w:spacing w:before="100" w:after="100"/>
        <w:ind w:left="640" w:hanging="640"/>
        <w:rPr>
          <w:rFonts w:ascii="Times New Roman" w:hAnsi="Times New Roman" w:cs="Times New Roman"/>
          <w:noProof/>
        </w:rPr>
      </w:pPr>
      <w:r w:rsidRPr="00A27C6C">
        <w:rPr>
          <w:rFonts w:ascii="Times New Roman" w:hAnsi="Times New Roman" w:cs="Times New Roman"/>
          <w:noProof/>
        </w:rPr>
        <w:t xml:space="preserve">23. </w:t>
      </w:r>
      <w:r w:rsidRPr="00A27C6C">
        <w:rPr>
          <w:rFonts w:ascii="Times New Roman" w:hAnsi="Times New Roman" w:cs="Times New Roman"/>
          <w:noProof/>
        </w:rPr>
        <w:tab/>
        <w:t xml:space="preserve"> 2020. Standard Methods Online -- Standard Methods for the Examination of Water and Wastewater.</w:t>
      </w:r>
    </w:p>
    <w:p w14:paraId="1BB608E1" w14:textId="77777777" w:rsidR="00A27C6C" w:rsidRPr="00A27C6C" w:rsidRDefault="00A27C6C" w:rsidP="00A27C6C">
      <w:pPr>
        <w:widowControl w:val="0"/>
        <w:autoSpaceDE w:val="0"/>
        <w:autoSpaceDN w:val="0"/>
        <w:adjustRightInd w:val="0"/>
        <w:spacing w:before="100" w:after="100"/>
        <w:ind w:left="640" w:hanging="640"/>
        <w:rPr>
          <w:rFonts w:ascii="Times New Roman" w:hAnsi="Times New Roman" w:cs="Times New Roman"/>
          <w:noProof/>
        </w:rPr>
      </w:pPr>
      <w:r w:rsidRPr="00A27C6C">
        <w:rPr>
          <w:rFonts w:ascii="Times New Roman" w:hAnsi="Times New Roman" w:cs="Times New Roman"/>
          <w:noProof/>
        </w:rPr>
        <w:t xml:space="preserve">24. </w:t>
      </w:r>
      <w:r w:rsidRPr="00A27C6C">
        <w:rPr>
          <w:rFonts w:ascii="Times New Roman" w:hAnsi="Times New Roman" w:cs="Times New Roman"/>
          <w:noProof/>
        </w:rPr>
        <w:tab/>
        <w:t>Bell CW, Fricks BE, Rocca JD, Steinweg JM, McMahon SK, Wallenstein MD. 2013. High-throughput Fluorometric Measurement of Potential Soil Extracellular Enzyme Activities. J Vis Exp 1–16.</w:t>
      </w:r>
    </w:p>
    <w:p w14:paraId="317F6520" w14:textId="77777777" w:rsidR="00A27C6C" w:rsidRPr="00A27C6C" w:rsidRDefault="00A27C6C" w:rsidP="00A27C6C">
      <w:pPr>
        <w:widowControl w:val="0"/>
        <w:autoSpaceDE w:val="0"/>
        <w:autoSpaceDN w:val="0"/>
        <w:adjustRightInd w:val="0"/>
        <w:spacing w:before="100" w:after="100"/>
        <w:ind w:left="640" w:hanging="640"/>
        <w:rPr>
          <w:rFonts w:ascii="Times New Roman" w:hAnsi="Times New Roman" w:cs="Times New Roman"/>
          <w:noProof/>
        </w:rPr>
      </w:pPr>
      <w:r w:rsidRPr="00A27C6C">
        <w:rPr>
          <w:rFonts w:ascii="Times New Roman" w:hAnsi="Times New Roman" w:cs="Times New Roman"/>
          <w:noProof/>
        </w:rPr>
        <w:t xml:space="preserve">25. </w:t>
      </w:r>
      <w:r w:rsidRPr="00A27C6C">
        <w:rPr>
          <w:rFonts w:ascii="Times New Roman" w:hAnsi="Times New Roman" w:cs="Times New Roman"/>
          <w:noProof/>
        </w:rPr>
        <w:tab/>
        <w:t>Saiya-Cork K., Sinsabaugh R., Zak D. 2002. The effects of long term nitrogen deposition on extracellular enzyme activity in an &lt;i&gt;Acer saccharum&lt;i&gt; forest soil. Soil Biol Biochem 34:1309–1315.</w:t>
      </w:r>
    </w:p>
    <w:p w14:paraId="7F5737BD" w14:textId="77777777" w:rsidR="00A27C6C" w:rsidRPr="00A27C6C" w:rsidRDefault="00A27C6C" w:rsidP="00A27C6C">
      <w:pPr>
        <w:widowControl w:val="0"/>
        <w:autoSpaceDE w:val="0"/>
        <w:autoSpaceDN w:val="0"/>
        <w:adjustRightInd w:val="0"/>
        <w:spacing w:before="100" w:after="100"/>
        <w:ind w:left="640" w:hanging="640"/>
        <w:rPr>
          <w:rFonts w:ascii="Times New Roman" w:hAnsi="Times New Roman" w:cs="Times New Roman"/>
          <w:noProof/>
        </w:rPr>
      </w:pPr>
      <w:r w:rsidRPr="00A27C6C">
        <w:rPr>
          <w:rFonts w:ascii="Times New Roman" w:hAnsi="Times New Roman" w:cs="Times New Roman"/>
          <w:noProof/>
        </w:rPr>
        <w:t xml:space="preserve">26. </w:t>
      </w:r>
      <w:r w:rsidRPr="00A27C6C">
        <w:rPr>
          <w:rFonts w:ascii="Times New Roman" w:hAnsi="Times New Roman" w:cs="Times New Roman"/>
          <w:noProof/>
        </w:rPr>
        <w:tab/>
        <w:t>Van Diepen LTA, Frey SD, Sthultz CM, Morrison EW, Minocha R, Pringle A. 2015. Changes in litter quality caused by simulated nitrogen deposition reinforce the N-induced suppression of litter decay. Ecosphere 6:1–16.</w:t>
      </w:r>
    </w:p>
    <w:p w14:paraId="500259ED" w14:textId="77777777" w:rsidR="00A27C6C" w:rsidRPr="00A27C6C" w:rsidRDefault="00A27C6C" w:rsidP="00A27C6C">
      <w:pPr>
        <w:widowControl w:val="0"/>
        <w:autoSpaceDE w:val="0"/>
        <w:autoSpaceDN w:val="0"/>
        <w:adjustRightInd w:val="0"/>
        <w:spacing w:before="100" w:after="100"/>
        <w:ind w:left="640" w:hanging="640"/>
        <w:rPr>
          <w:rFonts w:ascii="Times New Roman" w:hAnsi="Times New Roman" w:cs="Times New Roman"/>
          <w:noProof/>
        </w:rPr>
      </w:pPr>
      <w:r w:rsidRPr="00A27C6C">
        <w:rPr>
          <w:rFonts w:ascii="Times New Roman" w:hAnsi="Times New Roman" w:cs="Times New Roman"/>
          <w:noProof/>
        </w:rPr>
        <w:t xml:space="preserve">27. </w:t>
      </w:r>
      <w:r w:rsidRPr="00A27C6C">
        <w:rPr>
          <w:rFonts w:ascii="Times New Roman" w:hAnsi="Times New Roman" w:cs="Times New Roman"/>
          <w:noProof/>
        </w:rPr>
        <w:tab/>
        <w:t>DeForest JL. 2009. The influence of time, storage temperature, and substrate age on potential soil enzyme activity in acidic forest soils using MUB-linked substrates and l-DOPA. Soil Biol Biochem 41:1180–1186.</w:t>
      </w:r>
    </w:p>
    <w:p w14:paraId="0540B424" w14:textId="77777777" w:rsidR="00A27C6C" w:rsidRPr="00A27C6C" w:rsidRDefault="00A27C6C" w:rsidP="00A27C6C">
      <w:pPr>
        <w:widowControl w:val="0"/>
        <w:autoSpaceDE w:val="0"/>
        <w:autoSpaceDN w:val="0"/>
        <w:adjustRightInd w:val="0"/>
        <w:spacing w:before="100" w:after="100"/>
        <w:ind w:left="640" w:hanging="640"/>
        <w:rPr>
          <w:rFonts w:ascii="Times New Roman" w:hAnsi="Times New Roman" w:cs="Times New Roman"/>
          <w:noProof/>
        </w:rPr>
      </w:pPr>
      <w:r w:rsidRPr="00A27C6C">
        <w:rPr>
          <w:rFonts w:ascii="Times New Roman" w:hAnsi="Times New Roman" w:cs="Times New Roman"/>
          <w:noProof/>
        </w:rPr>
        <w:lastRenderedPageBreak/>
        <w:t xml:space="preserve">28. </w:t>
      </w:r>
      <w:r w:rsidRPr="00A27C6C">
        <w:rPr>
          <w:rFonts w:ascii="Times New Roman" w:hAnsi="Times New Roman" w:cs="Times New Roman"/>
          <w:noProof/>
        </w:rPr>
        <w:tab/>
        <w:t>Custer GF, VanDiepen LTA, Stump WL. 2020. Structural and functional dynamics of soil microbes following spruce beetle infestation. Appl Environ Microbiol 86:1–19.</w:t>
      </w:r>
    </w:p>
    <w:p w14:paraId="1E4B70CB" w14:textId="77777777" w:rsidR="00A27C6C" w:rsidRPr="00A27C6C" w:rsidRDefault="00A27C6C" w:rsidP="00A27C6C">
      <w:pPr>
        <w:widowControl w:val="0"/>
        <w:autoSpaceDE w:val="0"/>
        <w:autoSpaceDN w:val="0"/>
        <w:adjustRightInd w:val="0"/>
        <w:spacing w:before="100" w:after="100"/>
        <w:ind w:left="640" w:hanging="640"/>
        <w:rPr>
          <w:rFonts w:ascii="Times New Roman" w:hAnsi="Times New Roman" w:cs="Times New Roman"/>
          <w:noProof/>
        </w:rPr>
      </w:pPr>
      <w:r w:rsidRPr="00A27C6C">
        <w:rPr>
          <w:rFonts w:ascii="Times New Roman" w:hAnsi="Times New Roman" w:cs="Times New Roman"/>
          <w:noProof/>
        </w:rPr>
        <w:t xml:space="preserve">29. </w:t>
      </w:r>
      <w:r w:rsidRPr="00A27C6C">
        <w:rPr>
          <w:rFonts w:ascii="Times New Roman" w:hAnsi="Times New Roman" w:cs="Times New Roman"/>
          <w:noProof/>
        </w:rPr>
        <w:tab/>
        <w:t>German DP, Weintraub MN, Grandy AS, Lauber CL, Rinkes ZL, Allison SD. 2011. Optimization of hydrolytic and oxidative enzyme methods for ecosystem studies. Soil Biol Biochem 43:1387–1397.</w:t>
      </w:r>
    </w:p>
    <w:p w14:paraId="11933AD9" w14:textId="4F32D990" w:rsidR="00E800A0" w:rsidRPr="00E800A0" w:rsidRDefault="00E800A0" w:rsidP="00A27C6C">
      <w:pPr>
        <w:widowControl w:val="0"/>
        <w:autoSpaceDE w:val="0"/>
        <w:autoSpaceDN w:val="0"/>
        <w:adjustRightInd w:val="0"/>
        <w:spacing w:before="100" w:after="100"/>
        <w:ind w:left="640" w:hanging="640"/>
        <w:rPr>
          <w:rFonts w:ascii="Times New Roman" w:eastAsia="Times New Roman" w:hAnsi="Times New Roman" w:cs="Times New Roman"/>
          <w:color w:val="222222"/>
        </w:rPr>
      </w:pPr>
      <w:r>
        <w:rPr>
          <w:rFonts w:ascii="Times New Roman" w:eastAsia="Times New Roman" w:hAnsi="Times New Roman" w:cs="Times New Roman"/>
          <w:color w:val="222222"/>
        </w:rPr>
        <w:fldChar w:fldCharType="end"/>
      </w:r>
    </w:p>
    <w:p w14:paraId="300F97A1" w14:textId="77777777" w:rsidR="00E800A0" w:rsidRPr="00E800A0" w:rsidRDefault="00E800A0" w:rsidP="00E800A0">
      <w:pPr>
        <w:shd w:val="clear" w:color="auto" w:fill="FFFFFF"/>
        <w:spacing w:before="100" w:beforeAutospacing="1" w:after="100" w:afterAutospacing="1"/>
        <w:ind w:left="360"/>
        <w:jc w:val="both"/>
        <w:rPr>
          <w:rFonts w:ascii="Times New Roman" w:eastAsia="Times New Roman" w:hAnsi="Times New Roman" w:cs="Times New Roman"/>
          <w:color w:val="222222"/>
        </w:rPr>
      </w:pPr>
      <w:r w:rsidRPr="00E800A0">
        <w:rPr>
          <w:rFonts w:ascii="Times New Roman" w:eastAsia="Times New Roman" w:hAnsi="Times New Roman" w:cs="Times New Roman"/>
          <w:b/>
          <w:bCs/>
          <w:color w:val="222222"/>
        </w:rPr>
        <w:t>Acknowledgements</w:t>
      </w:r>
      <w:r w:rsidRPr="00E800A0">
        <w:rPr>
          <w:rFonts w:ascii="Times New Roman" w:eastAsia="Times New Roman" w:hAnsi="Times New Roman" w:cs="Times New Roman"/>
          <w:color w:val="222222"/>
        </w:rPr>
        <w:t xml:space="preserve"> (optional)</w:t>
      </w:r>
    </w:p>
    <w:p w14:paraId="6138C943" w14:textId="77777777" w:rsidR="00E800A0" w:rsidRPr="00E800A0" w:rsidRDefault="00E800A0" w:rsidP="00E800A0">
      <w:pPr>
        <w:shd w:val="clear" w:color="auto" w:fill="FFFFFF"/>
        <w:spacing w:before="100" w:beforeAutospacing="1" w:after="100" w:afterAutospacing="1"/>
        <w:ind w:left="360"/>
        <w:jc w:val="both"/>
        <w:rPr>
          <w:rFonts w:ascii="Times New Roman" w:eastAsia="Times New Roman" w:hAnsi="Times New Roman" w:cs="Times New Roman"/>
          <w:color w:val="222222"/>
        </w:rPr>
      </w:pPr>
      <w:r w:rsidRPr="00E800A0">
        <w:rPr>
          <w:rFonts w:ascii="Times New Roman" w:eastAsia="Times New Roman" w:hAnsi="Times New Roman" w:cs="Times New Roman"/>
          <w:b/>
          <w:bCs/>
          <w:color w:val="222222"/>
        </w:rPr>
        <w:t>Author contributions</w:t>
      </w:r>
      <w:r w:rsidRPr="00E800A0">
        <w:rPr>
          <w:rFonts w:ascii="Times New Roman" w:eastAsia="Times New Roman" w:hAnsi="Times New Roman" w:cs="Times New Roman"/>
          <w:color w:val="222222"/>
        </w:rPr>
        <w:t xml:space="preserve"> (names must be given as initials)</w:t>
      </w:r>
    </w:p>
    <w:p w14:paraId="5A8DFE02" w14:textId="77777777" w:rsidR="00E800A0" w:rsidRPr="00E800A0" w:rsidRDefault="00E800A0" w:rsidP="00E800A0">
      <w:pPr>
        <w:shd w:val="clear" w:color="auto" w:fill="FFFFFF"/>
        <w:spacing w:before="100" w:beforeAutospacing="1" w:after="100" w:afterAutospacing="1"/>
        <w:ind w:left="360"/>
        <w:jc w:val="both"/>
        <w:rPr>
          <w:rFonts w:ascii="Times New Roman" w:eastAsia="Times New Roman" w:hAnsi="Times New Roman" w:cs="Times New Roman"/>
          <w:color w:val="222222"/>
        </w:rPr>
      </w:pPr>
      <w:r w:rsidRPr="00E800A0">
        <w:rPr>
          <w:rFonts w:ascii="Times New Roman" w:eastAsia="Times New Roman" w:hAnsi="Times New Roman" w:cs="Times New Roman"/>
          <w:b/>
          <w:bCs/>
          <w:color w:val="222222"/>
        </w:rPr>
        <w:t>Data availability statement</w:t>
      </w:r>
      <w:r w:rsidRPr="00E800A0">
        <w:rPr>
          <w:rFonts w:ascii="Times New Roman" w:eastAsia="Times New Roman" w:hAnsi="Times New Roman" w:cs="Times New Roman"/>
          <w:color w:val="222222"/>
        </w:rPr>
        <w:t xml:space="preserve"> (mandatory)</w:t>
      </w:r>
    </w:p>
    <w:p w14:paraId="1456776F" w14:textId="77777777" w:rsidR="00E800A0" w:rsidRPr="00E800A0" w:rsidRDefault="00E800A0" w:rsidP="00E800A0">
      <w:pPr>
        <w:shd w:val="clear" w:color="auto" w:fill="FFFFFF"/>
        <w:spacing w:before="100" w:beforeAutospacing="1" w:after="100" w:afterAutospacing="1"/>
        <w:ind w:left="360"/>
        <w:jc w:val="both"/>
        <w:rPr>
          <w:rFonts w:ascii="Times New Roman" w:eastAsia="Times New Roman" w:hAnsi="Times New Roman" w:cs="Times New Roman"/>
          <w:color w:val="222222"/>
        </w:rPr>
      </w:pPr>
      <w:r w:rsidRPr="00E800A0">
        <w:rPr>
          <w:rFonts w:ascii="Times New Roman" w:eastAsia="Times New Roman" w:hAnsi="Times New Roman" w:cs="Times New Roman"/>
          <w:b/>
          <w:bCs/>
          <w:color w:val="222222"/>
        </w:rPr>
        <w:t>Additional Information</w:t>
      </w:r>
      <w:r w:rsidRPr="00E800A0">
        <w:rPr>
          <w:rFonts w:ascii="Times New Roman" w:eastAsia="Times New Roman" w:hAnsi="Times New Roman" w:cs="Times New Roman"/>
          <w:color w:val="222222"/>
        </w:rPr>
        <w:t xml:space="preserve"> (including a Competing Interests Statement)</w:t>
      </w:r>
    </w:p>
    <w:p w14:paraId="54309598" w14:textId="77777777" w:rsidR="00E800A0" w:rsidRPr="00E800A0" w:rsidRDefault="00E800A0" w:rsidP="00E800A0">
      <w:pPr>
        <w:shd w:val="clear" w:color="auto" w:fill="FFFFFF"/>
        <w:spacing w:before="100" w:beforeAutospacing="1" w:after="100" w:afterAutospacing="1"/>
        <w:ind w:left="360"/>
        <w:jc w:val="both"/>
        <w:rPr>
          <w:rFonts w:ascii="Times New Roman" w:eastAsia="Times New Roman" w:hAnsi="Times New Roman" w:cs="Times New Roman"/>
          <w:color w:val="222222"/>
        </w:rPr>
      </w:pPr>
      <w:r w:rsidRPr="00E800A0">
        <w:rPr>
          <w:rFonts w:ascii="Times New Roman" w:eastAsia="Times New Roman" w:hAnsi="Times New Roman" w:cs="Times New Roman"/>
          <w:b/>
          <w:bCs/>
          <w:color w:val="222222"/>
        </w:rPr>
        <w:t>Figure legends</w:t>
      </w:r>
      <w:r w:rsidRPr="00E800A0">
        <w:rPr>
          <w:rFonts w:ascii="Times New Roman" w:eastAsia="Times New Roman" w:hAnsi="Times New Roman" w:cs="Times New Roman"/>
          <w:color w:val="222222"/>
        </w:rPr>
        <w:t xml:space="preserve"> (these are limited to 350 words per figure)</w:t>
      </w:r>
    </w:p>
    <w:p w14:paraId="09052715" w14:textId="77777777" w:rsidR="00E800A0" w:rsidRDefault="00E800A0" w:rsidP="00E800A0">
      <w:pPr>
        <w:widowControl w:val="0"/>
        <w:autoSpaceDE w:val="0"/>
        <w:autoSpaceDN w:val="0"/>
        <w:adjustRightInd w:val="0"/>
        <w:rPr>
          <w:rFonts w:ascii="Times New Roman" w:eastAsia="Times New Roman" w:hAnsi="Times New Roman" w:cs="Times New Roman"/>
          <w:b/>
          <w:bCs/>
          <w:color w:val="222222"/>
        </w:rPr>
      </w:pPr>
      <w:r w:rsidRPr="00E800A0">
        <w:rPr>
          <w:rFonts w:ascii="Times New Roman" w:eastAsia="Times New Roman" w:hAnsi="Times New Roman" w:cs="Times New Roman"/>
          <w:b/>
          <w:bCs/>
          <w:color w:val="222222"/>
        </w:rPr>
        <w:t>Tables</w:t>
      </w:r>
    </w:p>
    <w:p w14:paraId="4E7A3AC6" w14:textId="25B8FC8A" w:rsidR="00E800A0" w:rsidRPr="0037707D" w:rsidRDefault="00E800A0" w:rsidP="00E800A0">
      <w:pPr>
        <w:widowControl w:val="0"/>
        <w:autoSpaceDE w:val="0"/>
        <w:autoSpaceDN w:val="0"/>
        <w:adjustRightInd w:val="0"/>
        <w:rPr>
          <w:rFonts w:ascii="Times New Roman" w:hAnsi="Times New Roman" w:cs="Times New Roman"/>
          <w:color w:val="000000" w:themeColor="text1"/>
        </w:rPr>
      </w:pPr>
      <w:r w:rsidRPr="0037707D">
        <w:rPr>
          <w:rFonts w:ascii="Times New Roman" w:hAnsi="Times New Roman" w:cs="Times New Roman"/>
          <w:color w:val="000000" w:themeColor="text1"/>
        </w:rPr>
        <w:t xml:space="preserve">Table 1. Weed removal treatment name, chemical agent, modes action, and application rates used in experimental design. </w:t>
      </w:r>
    </w:p>
    <w:p w14:paraId="422DA7CE" w14:textId="77777777" w:rsidR="00E800A0" w:rsidRPr="0037707D" w:rsidRDefault="00E800A0" w:rsidP="00E800A0">
      <w:pPr>
        <w:widowControl w:val="0"/>
        <w:autoSpaceDE w:val="0"/>
        <w:autoSpaceDN w:val="0"/>
        <w:adjustRightInd w:val="0"/>
        <w:ind w:left="720"/>
        <w:rPr>
          <w:rFonts w:ascii="Times New Roman" w:hAnsi="Times New Roman" w:cs="Times New Roman"/>
          <w:color w:val="000000" w:themeColor="text1"/>
        </w:rPr>
      </w:pPr>
    </w:p>
    <w:tbl>
      <w:tblPr>
        <w:tblStyle w:val="TableGrid"/>
        <w:tblW w:w="9810" w:type="dxa"/>
        <w:tblInd w:w="175" w:type="dxa"/>
        <w:tblLook w:val="04A0" w:firstRow="1" w:lastRow="0" w:firstColumn="1" w:lastColumn="0" w:noHBand="0" w:noVBand="1"/>
      </w:tblPr>
      <w:tblGrid>
        <w:gridCol w:w="2970"/>
        <w:gridCol w:w="2272"/>
        <w:gridCol w:w="2501"/>
        <w:gridCol w:w="2067"/>
      </w:tblGrid>
      <w:tr w:rsidR="00E800A0" w:rsidRPr="0037707D" w14:paraId="3DAE7A41" w14:textId="77777777" w:rsidTr="00044A61">
        <w:trPr>
          <w:trHeight w:val="534"/>
        </w:trPr>
        <w:tc>
          <w:tcPr>
            <w:tcW w:w="2970" w:type="dxa"/>
          </w:tcPr>
          <w:p w14:paraId="6C8B568F" w14:textId="77777777" w:rsidR="00E800A0" w:rsidRPr="0037707D" w:rsidRDefault="00E800A0" w:rsidP="00044A61">
            <w:pPr>
              <w:widowControl w:val="0"/>
              <w:autoSpaceDE w:val="0"/>
              <w:autoSpaceDN w:val="0"/>
              <w:adjustRightInd w:val="0"/>
              <w:rPr>
                <w:b/>
                <w:bCs/>
                <w:color w:val="000000" w:themeColor="text1"/>
              </w:rPr>
            </w:pPr>
            <w:r w:rsidRPr="0037707D">
              <w:rPr>
                <w:b/>
                <w:bCs/>
                <w:color w:val="000000" w:themeColor="text1"/>
              </w:rPr>
              <w:t>Weed removal treatment</w:t>
            </w:r>
          </w:p>
        </w:tc>
        <w:tc>
          <w:tcPr>
            <w:tcW w:w="2272" w:type="dxa"/>
          </w:tcPr>
          <w:p w14:paraId="3884AC27" w14:textId="77777777" w:rsidR="00E800A0" w:rsidRPr="0037707D" w:rsidRDefault="00E800A0" w:rsidP="00044A61">
            <w:pPr>
              <w:widowControl w:val="0"/>
              <w:autoSpaceDE w:val="0"/>
              <w:autoSpaceDN w:val="0"/>
              <w:adjustRightInd w:val="0"/>
              <w:rPr>
                <w:b/>
                <w:bCs/>
                <w:color w:val="000000" w:themeColor="text1"/>
              </w:rPr>
            </w:pPr>
            <w:r w:rsidRPr="0037707D">
              <w:rPr>
                <w:b/>
                <w:bCs/>
                <w:color w:val="000000" w:themeColor="text1"/>
              </w:rPr>
              <w:t>Chemical agent</w:t>
            </w:r>
          </w:p>
        </w:tc>
        <w:tc>
          <w:tcPr>
            <w:tcW w:w="2501" w:type="dxa"/>
          </w:tcPr>
          <w:p w14:paraId="54CD25EA" w14:textId="77777777" w:rsidR="00E800A0" w:rsidRPr="0037707D" w:rsidRDefault="00E800A0" w:rsidP="00044A61">
            <w:pPr>
              <w:widowControl w:val="0"/>
              <w:autoSpaceDE w:val="0"/>
              <w:autoSpaceDN w:val="0"/>
              <w:adjustRightInd w:val="0"/>
              <w:rPr>
                <w:b/>
                <w:bCs/>
                <w:color w:val="000000" w:themeColor="text1"/>
              </w:rPr>
            </w:pPr>
            <w:r w:rsidRPr="0037707D">
              <w:rPr>
                <w:b/>
                <w:bCs/>
                <w:color w:val="000000" w:themeColor="text1"/>
              </w:rPr>
              <w:t>Mode of action</w:t>
            </w:r>
          </w:p>
        </w:tc>
        <w:tc>
          <w:tcPr>
            <w:tcW w:w="2067" w:type="dxa"/>
          </w:tcPr>
          <w:p w14:paraId="5D34625D" w14:textId="77777777" w:rsidR="00E800A0" w:rsidRPr="0037707D" w:rsidRDefault="00E800A0" w:rsidP="00044A61">
            <w:pPr>
              <w:widowControl w:val="0"/>
              <w:autoSpaceDE w:val="0"/>
              <w:autoSpaceDN w:val="0"/>
              <w:adjustRightInd w:val="0"/>
              <w:rPr>
                <w:b/>
                <w:bCs/>
                <w:color w:val="000000" w:themeColor="text1"/>
              </w:rPr>
            </w:pPr>
            <w:r w:rsidRPr="0037707D">
              <w:rPr>
                <w:b/>
                <w:bCs/>
                <w:color w:val="000000" w:themeColor="text1"/>
              </w:rPr>
              <w:t>Application rate</w:t>
            </w:r>
          </w:p>
        </w:tc>
      </w:tr>
      <w:tr w:rsidR="00E800A0" w:rsidRPr="0037707D" w14:paraId="485A9DE0" w14:textId="77777777" w:rsidTr="00044A61">
        <w:trPr>
          <w:trHeight w:val="267"/>
        </w:trPr>
        <w:tc>
          <w:tcPr>
            <w:tcW w:w="2970" w:type="dxa"/>
          </w:tcPr>
          <w:p w14:paraId="6994DBBD" w14:textId="77777777" w:rsidR="00E800A0" w:rsidRPr="0037707D" w:rsidRDefault="00E800A0" w:rsidP="00044A61">
            <w:pPr>
              <w:widowControl w:val="0"/>
              <w:autoSpaceDE w:val="0"/>
              <w:autoSpaceDN w:val="0"/>
              <w:adjustRightInd w:val="0"/>
              <w:rPr>
                <w:color w:val="000000" w:themeColor="text1"/>
              </w:rPr>
            </w:pPr>
            <w:r w:rsidRPr="0037707D">
              <w:rPr>
                <w:color w:val="000000" w:themeColor="text1"/>
              </w:rPr>
              <w:t>Clarity ®</w:t>
            </w:r>
          </w:p>
        </w:tc>
        <w:tc>
          <w:tcPr>
            <w:tcW w:w="2272" w:type="dxa"/>
          </w:tcPr>
          <w:p w14:paraId="0EBED07C" w14:textId="77777777" w:rsidR="00E800A0" w:rsidRPr="0037707D" w:rsidRDefault="00E800A0" w:rsidP="00044A61">
            <w:pPr>
              <w:widowControl w:val="0"/>
              <w:autoSpaceDE w:val="0"/>
              <w:autoSpaceDN w:val="0"/>
              <w:adjustRightInd w:val="0"/>
              <w:rPr>
                <w:color w:val="000000" w:themeColor="text1"/>
              </w:rPr>
            </w:pPr>
            <w:r w:rsidRPr="0037707D">
              <w:rPr>
                <w:color w:val="000000" w:themeColor="text1"/>
              </w:rPr>
              <w:t>dicamba</w:t>
            </w:r>
          </w:p>
        </w:tc>
        <w:tc>
          <w:tcPr>
            <w:tcW w:w="2501" w:type="dxa"/>
          </w:tcPr>
          <w:p w14:paraId="4950CAF6" w14:textId="77777777" w:rsidR="00E800A0" w:rsidRPr="0037707D" w:rsidRDefault="00E800A0" w:rsidP="00044A61">
            <w:pPr>
              <w:widowControl w:val="0"/>
              <w:autoSpaceDE w:val="0"/>
              <w:autoSpaceDN w:val="0"/>
              <w:adjustRightInd w:val="0"/>
              <w:rPr>
                <w:color w:val="000000" w:themeColor="text1"/>
              </w:rPr>
            </w:pPr>
            <w:r w:rsidRPr="0037707D">
              <w:rPr>
                <w:color w:val="000000" w:themeColor="text1"/>
              </w:rPr>
              <w:t>Auxin mimic</w:t>
            </w:r>
          </w:p>
        </w:tc>
        <w:tc>
          <w:tcPr>
            <w:tcW w:w="2067" w:type="dxa"/>
          </w:tcPr>
          <w:p w14:paraId="3B8715C3" w14:textId="77777777" w:rsidR="00E800A0" w:rsidRPr="0037707D" w:rsidRDefault="00E800A0" w:rsidP="00044A61">
            <w:pPr>
              <w:widowControl w:val="0"/>
              <w:autoSpaceDE w:val="0"/>
              <w:autoSpaceDN w:val="0"/>
              <w:adjustRightInd w:val="0"/>
              <w:rPr>
                <w:color w:val="000000" w:themeColor="text1"/>
              </w:rPr>
            </w:pPr>
            <w:r w:rsidRPr="0037707D">
              <w:rPr>
                <w:color w:val="000000" w:themeColor="text1"/>
              </w:rPr>
              <w:t>584.6 mL/Ha</w:t>
            </w:r>
          </w:p>
        </w:tc>
      </w:tr>
      <w:tr w:rsidR="00E800A0" w:rsidRPr="0037707D" w14:paraId="774E0750" w14:textId="77777777" w:rsidTr="00044A61">
        <w:trPr>
          <w:trHeight w:val="674"/>
        </w:trPr>
        <w:tc>
          <w:tcPr>
            <w:tcW w:w="2970" w:type="dxa"/>
          </w:tcPr>
          <w:p w14:paraId="57677184" w14:textId="77777777" w:rsidR="00E800A0" w:rsidRPr="0037707D" w:rsidRDefault="00E800A0" w:rsidP="00044A61">
            <w:pPr>
              <w:widowControl w:val="0"/>
              <w:autoSpaceDE w:val="0"/>
              <w:autoSpaceDN w:val="0"/>
              <w:adjustRightInd w:val="0"/>
              <w:rPr>
                <w:color w:val="000000" w:themeColor="text1"/>
              </w:rPr>
            </w:pPr>
            <w:proofErr w:type="spellStart"/>
            <w:r w:rsidRPr="0037707D">
              <w:rPr>
                <w:color w:val="000000" w:themeColor="text1"/>
              </w:rPr>
              <w:t>Aatrex</w:t>
            </w:r>
            <w:proofErr w:type="spellEnd"/>
            <w:r w:rsidRPr="0037707D">
              <w:rPr>
                <w:color w:val="000000" w:themeColor="text1"/>
              </w:rPr>
              <w:t xml:space="preserve"> ® and Calisto ®</w:t>
            </w:r>
          </w:p>
        </w:tc>
        <w:tc>
          <w:tcPr>
            <w:tcW w:w="2272" w:type="dxa"/>
          </w:tcPr>
          <w:p w14:paraId="367AB84F" w14:textId="77777777" w:rsidR="00E800A0" w:rsidRPr="0037707D" w:rsidRDefault="00E800A0" w:rsidP="00044A61">
            <w:pPr>
              <w:widowControl w:val="0"/>
              <w:autoSpaceDE w:val="0"/>
              <w:autoSpaceDN w:val="0"/>
              <w:adjustRightInd w:val="0"/>
              <w:rPr>
                <w:color w:val="000000" w:themeColor="text1"/>
              </w:rPr>
            </w:pPr>
            <w:bookmarkStart w:id="1" w:name="OLE_LINK3"/>
            <w:bookmarkStart w:id="2" w:name="OLE_LINK4"/>
            <w:r w:rsidRPr="0037707D">
              <w:rPr>
                <w:color w:val="000000" w:themeColor="text1"/>
              </w:rPr>
              <w:t xml:space="preserve">atrazine and </w:t>
            </w:r>
            <w:proofErr w:type="spellStart"/>
            <w:r w:rsidRPr="0037707D">
              <w:rPr>
                <w:color w:val="000000" w:themeColor="text1"/>
              </w:rPr>
              <w:t>mesotrione</w:t>
            </w:r>
            <w:proofErr w:type="spellEnd"/>
            <w:r w:rsidRPr="0037707D">
              <w:rPr>
                <w:color w:val="000000" w:themeColor="text1"/>
              </w:rPr>
              <w:t xml:space="preserve"> tank mix</w:t>
            </w:r>
            <w:bookmarkEnd w:id="1"/>
            <w:bookmarkEnd w:id="2"/>
          </w:p>
        </w:tc>
        <w:tc>
          <w:tcPr>
            <w:tcW w:w="2501" w:type="dxa"/>
          </w:tcPr>
          <w:p w14:paraId="1CFD82FF" w14:textId="77777777" w:rsidR="00E800A0" w:rsidRPr="0037707D" w:rsidRDefault="00E800A0" w:rsidP="00044A61">
            <w:pPr>
              <w:widowControl w:val="0"/>
              <w:autoSpaceDE w:val="0"/>
              <w:autoSpaceDN w:val="0"/>
              <w:adjustRightInd w:val="0"/>
              <w:rPr>
                <w:color w:val="000000" w:themeColor="text1"/>
              </w:rPr>
            </w:pPr>
            <w:r w:rsidRPr="0037707D">
              <w:rPr>
                <w:color w:val="000000" w:themeColor="text1"/>
              </w:rPr>
              <w:t>Photosystem II and carotenoid pigment synthesis inhibitor</w:t>
            </w:r>
          </w:p>
        </w:tc>
        <w:tc>
          <w:tcPr>
            <w:tcW w:w="2067" w:type="dxa"/>
          </w:tcPr>
          <w:p w14:paraId="44973160" w14:textId="77777777" w:rsidR="00E800A0" w:rsidRPr="0037707D" w:rsidRDefault="00E800A0" w:rsidP="00044A61">
            <w:pPr>
              <w:widowControl w:val="0"/>
              <w:autoSpaceDE w:val="0"/>
              <w:autoSpaceDN w:val="0"/>
              <w:adjustRightInd w:val="0"/>
              <w:rPr>
                <w:color w:val="000000" w:themeColor="text1"/>
              </w:rPr>
            </w:pPr>
            <w:r w:rsidRPr="0037707D">
              <w:rPr>
                <w:color w:val="000000" w:themeColor="text1"/>
              </w:rPr>
              <w:t>1169.25 mL/Ha and 219.25 mL/Ha</w:t>
            </w:r>
          </w:p>
        </w:tc>
      </w:tr>
      <w:tr w:rsidR="00E800A0" w:rsidRPr="0037707D" w14:paraId="2AEF9AD3" w14:textId="77777777" w:rsidTr="00044A61">
        <w:trPr>
          <w:trHeight w:val="815"/>
        </w:trPr>
        <w:tc>
          <w:tcPr>
            <w:tcW w:w="2970" w:type="dxa"/>
          </w:tcPr>
          <w:p w14:paraId="077B874B" w14:textId="77777777" w:rsidR="00E800A0" w:rsidRPr="0037707D" w:rsidRDefault="00E800A0" w:rsidP="00044A61">
            <w:pPr>
              <w:widowControl w:val="0"/>
              <w:autoSpaceDE w:val="0"/>
              <w:autoSpaceDN w:val="0"/>
              <w:adjustRightInd w:val="0"/>
              <w:rPr>
                <w:color w:val="000000" w:themeColor="text1"/>
              </w:rPr>
            </w:pPr>
            <w:proofErr w:type="spellStart"/>
            <w:r w:rsidRPr="0037707D">
              <w:rPr>
                <w:color w:val="000000" w:themeColor="text1"/>
              </w:rPr>
              <w:t>RoundUp</w:t>
            </w:r>
            <w:proofErr w:type="spellEnd"/>
            <w:r w:rsidRPr="0037707D">
              <w:rPr>
                <w:color w:val="000000" w:themeColor="text1"/>
              </w:rPr>
              <w:t xml:space="preserve"> </w:t>
            </w:r>
            <w:proofErr w:type="spellStart"/>
            <w:r w:rsidRPr="0037707D">
              <w:rPr>
                <w:color w:val="000000" w:themeColor="text1"/>
              </w:rPr>
              <w:t>Powermax</w:t>
            </w:r>
            <w:proofErr w:type="spellEnd"/>
            <w:r w:rsidRPr="0037707D">
              <w:rPr>
                <w:color w:val="000000" w:themeColor="text1"/>
              </w:rPr>
              <w:t xml:space="preserve"> ®</w:t>
            </w:r>
          </w:p>
        </w:tc>
        <w:tc>
          <w:tcPr>
            <w:tcW w:w="2272" w:type="dxa"/>
          </w:tcPr>
          <w:p w14:paraId="29020C35" w14:textId="77777777" w:rsidR="00E800A0" w:rsidRPr="0037707D" w:rsidRDefault="00E800A0" w:rsidP="00044A61">
            <w:pPr>
              <w:widowControl w:val="0"/>
              <w:autoSpaceDE w:val="0"/>
              <w:autoSpaceDN w:val="0"/>
              <w:adjustRightInd w:val="0"/>
              <w:rPr>
                <w:color w:val="000000" w:themeColor="text1"/>
              </w:rPr>
            </w:pPr>
            <w:r w:rsidRPr="0037707D">
              <w:rPr>
                <w:color w:val="000000" w:themeColor="text1"/>
              </w:rPr>
              <w:t>glyphosate</w:t>
            </w:r>
          </w:p>
        </w:tc>
        <w:tc>
          <w:tcPr>
            <w:tcW w:w="2501" w:type="dxa"/>
          </w:tcPr>
          <w:p w14:paraId="4E9B1D6D" w14:textId="77777777" w:rsidR="00E800A0" w:rsidRPr="0037707D" w:rsidRDefault="00E800A0" w:rsidP="00044A61">
            <w:pPr>
              <w:widowControl w:val="0"/>
              <w:autoSpaceDE w:val="0"/>
              <w:autoSpaceDN w:val="0"/>
              <w:adjustRightInd w:val="0"/>
              <w:rPr>
                <w:color w:val="000000" w:themeColor="text1"/>
              </w:rPr>
            </w:pPr>
            <w:r w:rsidRPr="0037707D">
              <w:rPr>
                <w:color w:val="000000" w:themeColor="text1"/>
              </w:rPr>
              <w:t>EPSPS synthase inhibitor</w:t>
            </w:r>
          </w:p>
        </w:tc>
        <w:tc>
          <w:tcPr>
            <w:tcW w:w="2067" w:type="dxa"/>
          </w:tcPr>
          <w:p w14:paraId="2FC4C613" w14:textId="77777777" w:rsidR="00E800A0" w:rsidRPr="0037707D" w:rsidRDefault="00E800A0" w:rsidP="00044A61">
            <w:pPr>
              <w:widowControl w:val="0"/>
              <w:autoSpaceDE w:val="0"/>
              <w:autoSpaceDN w:val="0"/>
              <w:adjustRightInd w:val="0"/>
              <w:rPr>
                <w:color w:val="000000" w:themeColor="text1"/>
              </w:rPr>
            </w:pPr>
            <w:r w:rsidRPr="0037707D">
              <w:rPr>
                <w:color w:val="000000" w:themeColor="text1"/>
              </w:rPr>
              <w:t>2338.49 mL/Ha</w:t>
            </w:r>
          </w:p>
        </w:tc>
      </w:tr>
      <w:tr w:rsidR="00E800A0" w:rsidRPr="0037707D" w14:paraId="3ED4A74B" w14:textId="77777777" w:rsidTr="00044A61">
        <w:trPr>
          <w:trHeight w:val="548"/>
        </w:trPr>
        <w:tc>
          <w:tcPr>
            <w:tcW w:w="2970" w:type="dxa"/>
          </w:tcPr>
          <w:p w14:paraId="451354E9" w14:textId="77777777" w:rsidR="00E800A0" w:rsidRPr="0037707D" w:rsidRDefault="00E800A0" w:rsidP="00044A61">
            <w:pPr>
              <w:widowControl w:val="0"/>
              <w:autoSpaceDE w:val="0"/>
              <w:autoSpaceDN w:val="0"/>
              <w:adjustRightInd w:val="0"/>
              <w:rPr>
                <w:color w:val="000000" w:themeColor="text1"/>
              </w:rPr>
            </w:pPr>
            <w:proofErr w:type="spellStart"/>
            <w:r w:rsidRPr="0037707D">
              <w:rPr>
                <w:color w:val="000000" w:themeColor="text1"/>
              </w:rPr>
              <w:t>Handweed</w:t>
            </w:r>
            <w:proofErr w:type="spellEnd"/>
          </w:p>
        </w:tc>
        <w:tc>
          <w:tcPr>
            <w:tcW w:w="2272" w:type="dxa"/>
          </w:tcPr>
          <w:p w14:paraId="11AD5AB2" w14:textId="77777777" w:rsidR="00E800A0" w:rsidRPr="0037707D" w:rsidRDefault="00E800A0" w:rsidP="00044A61">
            <w:pPr>
              <w:widowControl w:val="0"/>
              <w:autoSpaceDE w:val="0"/>
              <w:autoSpaceDN w:val="0"/>
              <w:adjustRightInd w:val="0"/>
              <w:rPr>
                <w:color w:val="000000" w:themeColor="text1"/>
              </w:rPr>
            </w:pPr>
            <w:r w:rsidRPr="0037707D">
              <w:rPr>
                <w:color w:val="000000" w:themeColor="text1"/>
              </w:rPr>
              <w:t>NA</w:t>
            </w:r>
          </w:p>
        </w:tc>
        <w:tc>
          <w:tcPr>
            <w:tcW w:w="2501" w:type="dxa"/>
          </w:tcPr>
          <w:p w14:paraId="427D0F4B" w14:textId="77777777" w:rsidR="00E800A0" w:rsidRPr="0037707D" w:rsidRDefault="00E800A0" w:rsidP="00044A61">
            <w:pPr>
              <w:widowControl w:val="0"/>
              <w:autoSpaceDE w:val="0"/>
              <w:autoSpaceDN w:val="0"/>
              <w:adjustRightInd w:val="0"/>
              <w:rPr>
                <w:color w:val="000000" w:themeColor="text1"/>
              </w:rPr>
            </w:pPr>
            <w:r w:rsidRPr="0037707D">
              <w:rPr>
                <w:color w:val="000000" w:themeColor="text1"/>
              </w:rPr>
              <w:t>Mechanical removal</w:t>
            </w:r>
          </w:p>
        </w:tc>
        <w:tc>
          <w:tcPr>
            <w:tcW w:w="2067" w:type="dxa"/>
          </w:tcPr>
          <w:p w14:paraId="52C085AA" w14:textId="77777777" w:rsidR="00E800A0" w:rsidRPr="0037707D" w:rsidRDefault="00E800A0" w:rsidP="00044A61">
            <w:pPr>
              <w:widowControl w:val="0"/>
              <w:autoSpaceDE w:val="0"/>
              <w:autoSpaceDN w:val="0"/>
              <w:adjustRightInd w:val="0"/>
              <w:rPr>
                <w:color w:val="000000" w:themeColor="text1"/>
              </w:rPr>
            </w:pPr>
            <w:r w:rsidRPr="0037707D">
              <w:rPr>
                <w:color w:val="000000" w:themeColor="text1"/>
              </w:rPr>
              <w:t>NA</w:t>
            </w:r>
          </w:p>
        </w:tc>
      </w:tr>
      <w:tr w:rsidR="00E800A0" w:rsidRPr="0037707D" w14:paraId="06C1651F" w14:textId="77777777" w:rsidTr="00044A61">
        <w:trPr>
          <w:trHeight w:val="253"/>
        </w:trPr>
        <w:tc>
          <w:tcPr>
            <w:tcW w:w="2970" w:type="dxa"/>
          </w:tcPr>
          <w:p w14:paraId="7F22CE98" w14:textId="77777777" w:rsidR="00E800A0" w:rsidRPr="0037707D" w:rsidRDefault="00E800A0" w:rsidP="00044A61">
            <w:pPr>
              <w:widowControl w:val="0"/>
              <w:autoSpaceDE w:val="0"/>
              <w:autoSpaceDN w:val="0"/>
              <w:adjustRightInd w:val="0"/>
              <w:rPr>
                <w:color w:val="000000" w:themeColor="text1"/>
              </w:rPr>
            </w:pPr>
            <w:r w:rsidRPr="0037707D">
              <w:rPr>
                <w:color w:val="000000" w:themeColor="text1"/>
              </w:rPr>
              <w:t>Nontreated</w:t>
            </w:r>
          </w:p>
        </w:tc>
        <w:tc>
          <w:tcPr>
            <w:tcW w:w="2272" w:type="dxa"/>
          </w:tcPr>
          <w:p w14:paraId="755CA210" w14:textId="77777777" w:rsidR="00E800A0" w:rsidRPr="0037707D" w:rsidRDefault="00E800A0" w:rsidP="00044A61">
            <w:pPr>
              <w:widowControl w:val="0"/>
              <w:autoSpaceDE w:val="0"/>
              <w:autoSpaceDN w:val="0"/>
              <w:adjustRightInd w:val="0"/>
              <w:rPr>
                <w:color w:val="000000" w:themeColor="text1"/>
              </w:rPr>
            </w:pPr>
            <w:r w:rsidRPr="0037707D">
              <w:rPr>
                <w:color w:val="000000" w:themeColor="text1"/>
              </w:rPr>
              <w:t>NA</w:t>
            </w:r>
          </w:p>
        </w:tc>
        <w:tc>
          <w:tcPr>
            <w:tcW w:w="2501" w:type="dxa"/>
          </w:tcPr>
          <w:p w14:paraId="7DC241F6" w14:textId="77777777" w:rsidR="00E800A0" w:rsidRPr="0037707D" w:rsidRDefault="00E800A0" w:rsidP="00044A61">
            <w:pPr>
              <w:widowControl w:val="0"/>
              <w:autoSpaceDE w:val="0"/>
              <w:autoSpaceDN w:val="0"/>
              <w:adjustRightInd w:val="0"/>
              <w:rPr>
                <w:color w:val="000000" w:themeColor="text1"/>
              </w:rPr>
            </w:pPr>
            <w:r w:rsidRPr="0037707D">
              <w:rPr>
                <w:color w:val="000000" w:themeColor="text1"/>
              </w:rPr>
              <w:t>NA</w:t>
            </w:r>
          </w:p>
        </w:tc>
        <w:tc>
          <w:tcPr>
            <w:tcW w:w="2067" w:type="dxa"/>
          </w:tcPr>
          <w:p w14:paraId="206967D7" w14:textId="77777777" w:rsidR="00E800A0" w:rsidRPr="0037707D" w:rsidRDefault="00E800A0" w:rsidP="00044A61">
            <w:pPr>
              <w:widowControl w:val="0"/>
              <w:autoSpaceDE w:val="0"/>
              <w:autoSpaceDN w:val="0"/>
              <w:adjustRightInd w:val="0"/>
              <w:rPr>
                <w:color w:val="000000" w:themeColor="text1"/>
              </w:rPr>
            </w:pPr>
            <w:r w:rsidRPr="0037707D">
              <w:rPr>
                <w:color w:val="000000" w:themeColor="text1"/>
              </w:rPr>
              <w:t>NA</w:t>
            </w:r>
          </w:p>
        </w:tc>
      </w:tr>
    </w:tbl>
    <w:p w14:paraId="44510AB6" w14:textId="77777777" w:rsidR="00E800A0" w:rsidRPr="0037707D" w:rsidRDefault="00E800A0" w:rsidP="00E800A0">
      <w:pPr>
        <w:rPr>
          <w:rFonts w:ascii="Times New Roman" w:hAnsi="Times New Roman" w:cs="Times New Roman"/>
          <w:b/>
          <w:bCs/>
          <w:color w:val="000000" w:themeColor="text1"/>
        </w:rPr>
      </w:pPr>
    </w:p>
    <w:p w14:paraId="66E7D1DE" w14:textId="7414C7A6" w:rsidR="00E800A0" w:rsidRPr="00E800A0" w:rsidRDefault="00E800A0" w:rsidP="00E800A0">
      <w:pPr>
        <w:shd w:val="clear" w:color="auto" w:fill="FFFFFF"/>
        <w:spacing w:before="100" w:beforeAutospacing="1" w:after="100" w:afterAutospacing="1"/>
        <w:ind w:left="360"/>
        <w:jc w:val="both"/>
        <w:rPr>
          <w:rFonts w:ascii="Times New Roman" w:eastAsia="Times New Roman" w:hAnsi="Times New Roman" w:cs="Times New Roman"/>
          <w:color w:val="222222"/>
        </w:rPr>
      </w:pPr>
    </w:p>
    <w:p w14:paraId="4C38B179" w14:textId="7CECBF84" w:rsidR="00E800A0" w:rsidRPr="00E800A0" w:rsidRDefault="00E800A0" w:rsidP="00E800A0">
      <w:pPr>
        <w:jc w:val="both"/>
        <w:rPr>
          <w:rFonts w:ascii="Times New Roman" w:hAnsi="Times New Roman" w:cs="Times New Roman"/>
        </w:rPr>
      </w:pPr>
    </w:p>
    <w:sectPr w:rsidR="00E800A0" w:rsidRPr="00E800A0" w:rsidSect="003D1C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uster, Gordon" w:date="2022-04-21T15:44:00Z" w:initials="CG">
    <w:p w14:paraId="102ACA75" w14:textId="77777777" w:rsidR="00A27C6C" w:rsidRPr="009F391E" w:rsidRDefault="00A27C6C" w:rsidP="00A27C6C">
      <w:pPr>
        <w:pStyle w:val="CommentText"/>
        <w:rPr>
          <w:color w:val="000000" w:themeColor="text1"/>
        </w:rPr>
      </w:pPr>
      <w:r>
        <w:rPr>
          <w:rStyle w:val="CommentReference"/>
        </w:rPr>
        <w:annotationRef/>
      </w:r>
      <w:r>
        <w:rPr>
          <w:rStyle w:val="CommentReference"/>
        </w:rPr>
        <w:annotationRef/>
      </w:r>
      <w:r w:rsidRPr="009F391E">
        <w:rPr>
          <w:color w:val="000000" w:themeColor="text1"/>
        </w:rPr>
        <w:t xml:space="preserve">Josh, care to take a stab at this? You are more familiar with what was done in the </w:t>
      </w:r>
      <w:proofErr w:type="spellStart"/>
      <w:r w:rsidRPr="009F391E">
        <w:rPr>
          <w:color w:val="000000" w:themeColor="text1"/>
        </w:rPr>
        <w:t>Vsearch</w:t>
      </w:r>
      <w:proofErr w:type="spellEnd"/>
      <w:r w:rsidRPr="009F391E">
        <w:rPr>
          <w:color w:val="000000" w:themeColor="text1"/>
        </w:rPr>
        <w:t xml:space="preserve"> pipeline.</w:t>
      </w:r>
      <w:r>
        <w:rPr>
          <w:color w:val="000000" w:themeColor="text1"/>
        </w:rPr>
        <w:t xml:space="preserve"> I believe we should indicate the CNVRG DM modeling here as well. </w:t>
      </w:r>
    </w:p>
    <w:p w14:paraId="54A5AAF1" w14:textId="77777777" w:rsidR="00A27C6C" w:rsidRPr="009F391E" w:rsidRDefault="00A27C6C" w:rsidP="00A27C6C">
      <w:pPr>
        <w:pStyle w:val="CommentText"/>
        <w:rPr>
          <w:color w:val="000000" w:themeColor="text1"/>
        </w:rPr>
      </w:pPr>
    </w:p>
    <w:p w14:paraId="7CF2D981" w14:textId="729BC17B" w:rsidR="00A27C6C" w:rsidRDefault="00A27C6C" w:rsidP="00A27C6C">
      <w:pPr>
        <w:pStyle w:val="CommentText"/>
      </w:pPr>
      <w:r w:rsidRPr="009F391E">
        <w:rPr>
          <w:color w:val="000000" w:themeColor="text1"/>
        </w:rPr>
        <w:t>Taxonomy was assigned with gg16s_13.5 and unite4_02_20.fa.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F2D9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BFA60" w16cex:dateUtc="2022-04-21T1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F2D981" w16cid:durableId="260BFA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47E8D"/>
    <w:multiLevelType w:val="multilevel"/>
    <w:tmpl w:val="7258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345357"/>
    <w:multiLevelType w:val="multilevel"/>
    <w:tmpl w:val="0C70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uster, Gordon">
    <w15:presenceInfo w15:providerId="AD" w15:userId="S::gfc7@psu.edu::f6794ad3-6c22-4171-a0ba-e4030f78d3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0A0"/>
    <w:rsid w:val="0027774A"/>
    <w:rsid w:val="003D1C5E"/>
    <w:rsid w:val="005D259D"/>
    <w:rsid w:val="00A27C6C"/>
    <w:rsid w:val="00E800A0"/>
    <w:rsid w:val="00F23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D2DAF"/>
  <w14:defaultImageDpi w14:val="32767"/>
  <w15:chartTrackingRefBased/>
  <w15:docId w15:val="{3866B752-37AB-5E44-8E0A-2A277CA0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unhideWhenUsed/>
    <w:rsid w:val="00E800A0"/>
    <w:rPr>
      <w:sz w:val="16"/>
      <w:szCs w:val="16"/>
    </w:rPr>
  </w:style>
  <w:style w:type="paragraph" w:styleId="CommentText">
    <w:name w:val="annotation text"/>
    <w:basedOn w:val="Normal"/>
    <w:link w:val="CommentTextChar"/>
    <w:uiPriority w:val="99"/>
    <w:unhideWhenUsed/>
    <w:rsid w:val="00E800A0"/>
    <w:rPr>
      <w:sz w:val="20"/>
      <w:szCs w:val="20"/>
    </w:rPr>
  </w:style>
  <w:style w:type="character" w:customStyle="1" w:styleId="CommentTextChar">
    <w:name w:val="Comment Text Char"/>
    <w:basedOn w:val="DefaultParagraphFont"/>
    <w:link w:val="CommentText"/>
    <w:uiPriority w:val="99"/>
    <w:rsid w:val="00E800A0"/>
    <w:rPr>
      <w:sz w:val="20"/>
      <w:szCs w:val="20"/>
    </w:rPr>
  </w:style>
  <w:style w:type="paragraph" w:styleId="CommentSubject">
    <w:name w:val="annotation subject"/>
    <w:basedOn w:val="CommentText"/>
    <w:next w:val="CommentText"/>
    <w:link w:val="CommentSubjectChar"/>
    <w:uiPriority w:val="99"/>
    <w:semiHidden/>
    <w:unhideWhenUsed/>
    <w:rsid w:val="00E800A0"/>
    <w:rPr>
      <w:b/>
      <w:bCs/>
    </w:rPr>
  </w:style>
  <w:style w:type="character" w:customStyle="1" w:styleId="CommentSubjectChar">
    <w:name w:val="Comment Subject Char"/>
    <w:basedOn w:val="CommentTextChar"/>
    <w:link w:val="CommentSubject"/>
    <w:uiPriority w:val="99"/>
    <w:semiHidden/>
    <w:rsid w:val="00E800A0"/>
    <w:rPr>
      <w:b/>
      <w:bCs/>
      <w:sz w:val="20"/>
      <w:szCs w:val="20"/>
    </w:rPr>
  </w:style>
  <w:style w:type="table" w:styleId="TableGrid">
    <w:name w:val="Table Grid"/>
    <w:basedOn w:val="TableNormal"/>
    <w:uiPriority w:val="39"/>
    <w:rsid w:val="00E800A0"/>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05512">
      <w:bodyDiv w:val="1"/>
      <w:marLeft w:val="0"/>
      <w:marRight w:val="0"/>
      <w:marTop w:val="0"/>
      <w:marBottom w:val="0"/>
      <w:divBdr>
        <w:top w:val="none" w:sz="0" w:space="0" w:color="auto"/>
        <w:left w:val="none" w:sz="0" w:space="0" w:color="auto"/>
        <w:bottom w:val="none" w:sz="0" w:space="0" w:color="auto"/>
        <w:right w:val="none" w:sz="0" w:space="0" w:color="auto"/>
      </w:divBdr>
    </w:div>
    <w:div w:id="107223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0ECA0-DC5F-B740-B1DE-BA7EE3E51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9</Pages>
  <Words>17418</Words>
  <Characters>99287</Characters>
  <Application>Microsoft Office Word</Application>
  <DocSecurity>0</DocSecurity>
  <Lines>827</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Custer, Gordon</dc:creator>
  <cp:keywords/>
  <dc:description/>
  <cp:lastModifiedBy>Custer, Gordon</cp:lastModifiedBy>
  <cp:revision>2</cp:revision>
  <dcterms:created xsi:type="dcterms:W3CDTF">2022-04-21T18:20:00Z</dcterms:created>
  <dcterms:modified xsi:type="dcterms:W3CDTF">2022-04-25T17:47:00Z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a4472389-ee2a-3f03-85b6-d53f071f83d4</vt:lpwstr>
  </property>
  <property fmtid="{D5CDD505-2E9C-101B-9397-08002B2CF9AE}" pid="4" name="Mendeley Citation Style_1">
    <vt:lpwstr>http://www.zotero.org/styles/applied-and-environmental-microbiology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7th edition</vt:lpwstr>
  </property>
  <property fmtid="{D5CDD505-2E9C-101B-9397-08002B2CF9AE}" pid="7" name="Mendeley Recent Style Id 1_1">
    <vt:lpwstr>http://www.zotero.org/styles/applied-and-environmental-microbiology</vt:lpwstr>
  </property>
  <property fmtid="{D5CDD505-2E9C-101B-9397-08002B2CF9AE}" pid="8" name="Mendeley Recent Style Name 1_1">
    <vt:lpwstr>Applied and Environmental Microbiology</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http://www.zotero.org/styles/frontiers-in-microbiology</vt:lpwstr>
  </property>
  <property fmtid="{D5CDD505-2E9C-101B-9397-08002B2CF9AE}" pid="14" name="Mendeley Recent Style Name 4_1">
    <vt:lpwstr>Frontiers in Microbiology</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http://www.zotero.org/styles/journal-of-molecular-biology</vt:lpwstr>
  </property>
  <property fmtid="{D5CDD505-2E9C-101B-9397-08002B2CF9AE}" pid="18" name="Mendeley Recent Style Name 6_1">
    <vt:lpwstr>Journal of Molecular Biology</vt:lpwstr>
  </property>
  <property fmtid="{D5CDD505-2E9C-101B-9397-08002B2CF9AE}" pid="19" name="Mendeley Recent Style Id 7_1">
    <vt:lpwstr>http://www.zotero.org/styles/microbiome</vt:lpwstr>
  </property>
  <property fmtid="{D5CDD505-2E9C-101B-9397-08002B2CF9AE}" pid="20" name="Mendeley Recent Style Name 7_1">
    <vt:lpwstr>Microbiome</vt:lpwstr>
  </property>
  <property fmtid="{D5CDD505-2E9C-101B-9397-08002B2CF9AE}" pid="21" name="Mendeley Recent Style Id 8_1">
    <vt:lpwstr>http://www.zotero.org/styles/pedobiologia-journal-of-soil-ecology</vt:lpwstr>
  </property>
  <property fmtid="{D5CDD505-2E9C-101B-9397-08002B2CF9AE}" pid="22" name="Mendeley Recent Style Name 8_1">
    <vt:lpwstr>Pedobiologia - Journal of Soil Ecology</vt:lpwstr>
  </property>
  <property fmtid="{D5CDD505-2E9C-101B-9397-08002B2CF9AE}" pid="23" name="Mendeley Recent Style Id 9_1">
    <vt:lpwstr>http://www.zotero.org/styles/rangeland-ecology-and-management</vt:lpwstr>
  </property>
  <property fmtid="{D5CDD505-2E9C-101B-9397-08002B2CF9AE}" pid="24" name="Mendeley Recent Style Name 9_1">
    <vt:lpwstr>Rangeland Ecology &amp; Management</vt:lpwstr>
  </property>
</Properties>
</file>