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color w:val="000080"/>
          <w:sz w:val="36"/>
        </w:rPr>
        <w:t>技术架构评审会议纪要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sz w:val="21"/>
              </w:rPr>
              <w:t>会议主题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智忆助理系统架构升级评审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sz w:val="21"/>
              </w:rPr>
              <w:t>会议时间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2026年4月3日 09:30-12:00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sz w:val="21"/>
              </w:rPr>
              <w:t>会议地点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研发中心大会议室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sz w:val="21"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王技术（CTO）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sz w:val="21"/>
              </w:rPr>
              <w:t>记录人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张秘书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sz w:val="21"/>
              </w:rPr>
              <w:t>参会人员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刘架构、陈运维、李安全、赵DevOps、周测试、吴产品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一、会议背景</w:t>
      </w:r>
    </w:p>
    <w:p>
      <w:r>
        <w:rPr>
          <w:rFonts w:ascii="SimSun" w:hAnsi="SimSun" w:eastAsia="SimSun"/>
          <w:b w:val="0"/>
          <w:sz w:val="21"/>
        </w:rPr>
        <w:t>随着智忆助理用户量快速增长，现有架构面临性能和扩展性挑战。本次评审会旨在讨论系统架构升级方案，解决以下核心问题：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数据库性能瓶颈：当前SQLite单节点架构，并发写入存在锁竞争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向量检索延迟：FAISS在10万级以上向量时查询延迟超过500ms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LLM调用成本：缺乏智能路由，所有请求均调用大模型，成本高昂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故障恢复能力：缺乏多活和自动故障转移机制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二、议题讨论与决策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2.1 数据库架构升级方案</w:t>
      </w:r>
    </w:p>
    <w:p>
      <w:r>
        <w:rPr>
          <w:rFonts w:ascii="SimSun" w:hAnsi="SimSun" w:eastAsia="SimSun"/>
          <w:b/>
          <w:sz w:val="21"/>
        </w:rPr>
        <w:t>【方案对比】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TiDB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水平扩展、MySQL兼容、云原生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部署复杂、成本高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大规模生产环境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PostgreSQL主从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成熟稳定、生态丰富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垂直扩展、读写分离复杂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中型规模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分库分表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成本可控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应用改造大、跨分片查询难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超大规模</w:t>
            </w:r>
          </w:p>
        </w:tc>
      </w:tr>
    </w:tbl>
    <w:p/>
    <w:p>
      <w:r>
        <w:rPr>
          <w:rFonts w:ascii="SimSun" w:hAnsi="SimSun" w:eastAsia="SimSun"/>
          <w:b/>
          <w:color w:val="008000"/>
          <w:sz w:val="21"/>
        </w:rPr>
        <w:t>【关键决策】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✅ 选择 TiDB Serverless 作为新的主数据库，支持自动扩缩容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✅ 保留SQLite作为边缘节点缓存，实现就近读写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✅ 采用双写方案过渡，确保平滑迁移，零数据丢失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2.2 向量数据库选型评估</w:t>
      </w:r>
    </w:p>
    <w:p>
      <w:r>
        <w:rPr>
          <w:rFonts w:ascii="SimSun" w:hAnsi="SimSun" w:eastAsia="SimSun"/>
          <w:b w:val="0"/>
          <w:sz w:val="21"/>
        </w:rPr>
        <w:t>刘架构汇报了向量数据库的选型结果。经过对Milvus、Pinecone、Weaviate的压测对比：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Milvus：10万向量召回率95%，P99延迟45ms，支持GPU加速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Pinecone：全托管，但国内访问延迟高，成本较高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Weaviate：GraphQL接口友好，但中文分词支持较弱</w:t>
      </w:r>
    </w:p>
    <w:p>
      <w:r>
        <w:rPr>
          <w:rFonts w:ascii="SimSun" w:hAnsi="SimSun" w:eastAsia="SimSun"/>
          <w:b/>
          <w:color w:val="008000"/>
          <w:sz w:val="21"/>
        </w:rPr>
        <w:t>【关键决策】</w:t>
      </w:r>
    </w:p>
    <w:p>
      <w:r>
        <w:rPr>
          <w:rFonts w:ascii="SimSun" w:hAnsi="SimSun" w:eastAsia="SimSun"/>
          <w:b w:val="0"/>
          <w:sz w:val="21"/>
        </w:rPr>
        <w:t>✅ 采用 Milvus 2.3 版本，自建集群部署，预计可支撑1000万向量规模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2.3 LLM智能网关设计</w:t>
      </w:r>
    </w:p>
    <w:p>
      <w:r>
        <w:rPr>
          <w:rFonts w:ascii="SimSun" w:hAnsi="SimSun" w:eastAsia="SimSun"/>
          <w:b w:val="0"/>
          <w:sz w:val="21"/>
        </w:rPr>
        <w:t>讨论了大模型调用的成本优化方案，设计智能路由策略：</w:t>
      </w:r>
    </w:p>
    <w:p>
      <w:r>
        <w:rPr>
          <w:rFonts w:ascii="SimSun" w:hAnsi="SimSun" w:eastAsia="SimSun"/>
          <w:b w:val="0"/>
          <w:sz w:val="21"/>
        </w:rPr>
        <w:t>路由策略：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简单查询（&lt;50token输入）→ GLM-4-Flash，成本低至￥0.001/1K token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标准对话 → Qwen3.5-Turbo，平衡成本与质量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复杂推理 → DeepSeek-V3，高质量输出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创意写作 → GPT-4-Turbo，最强生成能力</w:t>
      </w:r>
    </w:p>
    <w:p>
      <w:r>
        <w:rPr>
          <w:rFonts w:ascii="SimSun" w:hAnsi="SimSun" w:eastAsia="SimSun"/>
          <w:b/>
          <w:color w:val="008000"/>
          <w:sz w:val="21"/>
        </w:rPr>
        <w:t>【关键决策】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✅ 开发LLM Gateway服务，实现统一接入、智能路由、熔断限流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✅ 接入4家供应商（DeepSeek、OpenAI、阿里、智谱），避免单点依赖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✅ 实现Token使用量实时监控，成本预警阈值设为月度预算80%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三、待办事项与行动计划</w:t>
      </w:r>
    </w:p>
    <w:p>
      <w:pPr>
        <w:pStyle w:val="Heading2"/>
      </w:pPr>
      <w:r>
        <w:rPr>
          <w:rFonts w:ascii="SimHei" w:hAnsi="SimHei" w:eastAsia="SimHei"/>
          <w:b/>
          <w:color w:val="DC143C"/>
          <w:sz w:val="24"/>
        </w:rPr>
        <w:t>🔴 高优先级（本周完成）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TO-101: 完成TiDB集群部署</w:t>
        <w:br/>
      </w:r>
      <w:r>
        <w:rPr>
          <w:rFonts w:ascii="SimSun" w:hAnsi="SimSun" w:eastAsia="SimSun"/>
          <w:b w:val="0"/>
          <w:sz w:val="21"/>
        </w:rPr>
        <w:t xml:space="preserve">   负责人：刘架构 | 截止日期：4月7日 | 提醒时间：4月7日09:00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TO-102: 完成Milvus压测报告</w:t>
        <w:br/>
      </w:r>
      <w:r>
        <w:rPr>
          <w:rFonts w:ascii="SimSun" w:hAnsi="SimSun" w:eastAsia="SimSun"/>
          <w:b w:val="0"/>
          <w:sz w:val="21"/>
        </w:rPr>
        <w:t xml:space="preserve">   负责人：陈运维 | 截止日期：4月8日 | 提醒时间：4月8日10:00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TO-103: 输出LLM Gateway接口设计</w:t>
        <w:br/>
      </w:r>
      <w:r>
        <w:rPr>
          <w:rFonts w:ascii="SimSun" w:hAnsi="SimSun" w:eastAsia="SimSun"/>
          <w:b w:val="0"/>
          <w:sz w:val="21"/>
        </w:rPr>
        <w:t xml:space="preserve">   负责人：赵DevOps | 截止日期：4月9日 | 提醒时间：4月8日17:00</w:t>
      </w:r>
    </w:p>
    <w:p>
      <w:pPr>
        <w:pStyle w:val="Heading2"/>
      </w:pPr>
      <w:r>
        <w:rPr>
          <w:rFonts w:ascii="SimHei" w:hAnsi="SimHei" w:eastAsia="SimHei"/>
          <w:b/>
          <w:color w:val="FFA500"/>
          <w:sz w:val="24"/>
        </w:rPr>
        <w:t>🟡 中优先级（下周完成）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TO-104: 数据迁移方案详细设计</w:t>
        <w:br/>
      </w:r>
      <w:r>
        <w:rPr>
          <w:rFonts w:ascii="SimSun" w:hAnsi="SimSun" w:eastAsia="SimSun"/>
          <w:b w:val="0"/>
          <w:sz w:val="21"/>
        </w:rPr>
        <w:t xml:space="preserve">   负责人：刘架构 | 截止日期：4月12日 | 提醒时间：4月11日14:00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TO-105: 安全审计与渗透测试计划</w:t>
        <w:br/>
      </w:r>
      <w:r>
        <w:rPr>
          <w:rFonts w:ascii="SimSun" w:hAnsi="SimSun" w:eastAsia="SimSun"/>
          <w:b w:val="0"/>
          <w:sz w:val="21"/>
        </w:rPr>
        <w:t xml:space="preserve">   负责人：李安全 | 截止日期：4月15日 | 提醒时间：4月14日09:00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TO-106: 监控告警体系搭建</w:t>
        <w:br/>
      </w:r>
      <w:r>
        <w:rPr>
          <w:rFonts w:ascii="SimSun" w:hAnsi="SimSun" w:eastAsia="SimSun"/>
          <w:b w:val="0"/>
          <w:sz w:val="21"/>
        </w:rPr>
        <w:t xml:space="preserve">   负责人：陈运维 | 截止日期：4月15日 | 提醒时间：4月14日16:00</w:t>
      </w:r>
    </w:p>
    <w:p>
      <w:pPr>
        <w:pStyle w:val="Heading2"/>
      </w:pPr>
      <w:r>
        <w:rPr>
          <w:rFonts w:ascii="SimHei" w:hAnsi="SimHei" w:eastAsia="SimHei"/>
          <w:b/>
          <w:color w:val="228B22"/>
          <w:sz w:val="24"/>
        </w:rPr>
        <w:t>🟢 常规优先级（持续跟进）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TO-107: 技术文档更新与知识沉淀</w:t>
        <w:br/>
      </w:r>
      <w:r>
        <w:rPr>
          <w:rFonts w:ascii="SimSun" w:hAnsi="SimSun" w:eastAsia="SimSun"/>
          <w:b w:val="0"/>
          <w:sz w:val="21"/>
        </w:rPr>
        <w:t xml:space="preserve">   负责人：全员 | 截止日期：持续 | 提醒时间：每周五17:00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TO-108: 每周架构进度同步会</w:t>
        <w:br/>
      </w:r>
      <w:r>
        <w:rPr>
          <w:rFonts w:ascii="SimSun" w:hAnsi="SimSun" w:eastAsia="SimSun"/>
          <w:b w:val="0"/>
          <w:sz w:val="21"/>
        </w:rPr>
        <w:t xml:space="preserve">   负责人：王技术 | 截止日期：每周二 | 提醒时间：每周二09:00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TO-109: 供应商合同与SLA确认</w:t>
        <w:br/>
      </w:r>
      <w:r>
        <w:rPr>
          <w:rFonts w:ascii="SimSun" w:hAnsi="SimSun" w:eastAsia="SimSun"/>
          <w:b w:val="0"/>
          <w:sz w:val="21"/>
        </w:rPr>
        <w:t xml:space="preserve">   负责人：张秘书 | 截止日期：4月20日 | 提醒时间：4月18日10:00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四、风险识别与应对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风险项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可能性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TiDB迁移数据丢失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极高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双写验证，迁移后数据一致性校验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Milvus性能不达预期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保留FAISS回滚方案，灰度切换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LLM供应商服务中断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多供应商冗余，自动故障转移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项目进度延期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每周进度跟踪，关键路径识别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五、下次会议安排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会议主题：</w:t>
      </w:r>
      <w:r>
        <w:rPr>
          <w:rFonts w:ascii="SimSun" w:hAnsi="SimSun" w:eastAsia="SimSun"/>
          <w:b w:val="0"/>
          <w:sz w:val="21"/>
        </w:rPr>
        <w:t>架构方案评审与里程碑确认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会议时间：</w:t>
      </w:r>
      <w:r>
        <w:rPr>
          <w:rFonts w:ascii="SimSun" w:hAnsi="SimSun" w:eastAsia="SimSun"/>
          <w:b w:val="0"/>
          <w:sz w:val="21"/>
        </w:rPr>
        <w:t>2026年4月10日 14:00-16:00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会议形式：</w:t>
      </w:r>
      <w:r>
        <w:rPr>
          <w:rFonts w:ascii="SimSun" w:hAnsi="SimSun" w:eastAsia="SimSun"/>
          <w:b w:val="0"/>
          <w:sz w:val="21"/>
        </w:rPr>
        <w:t>线上腾讯会议 123-456-789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提醒时间：</w:t>
      </w:r>
      <w:r>
        <w:rPr>
          <w:rFonts w:ascii="SimSun" w:hAnsi="SimSun" w:eastAsia="SimSun"/>
          <w:b w:val="0"/>
          <w:sz w:val="21"/>
        </w:rPr>
        <w:t>2026年4月10日上午09:00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准备事项：</w:t>
      </w:r>
      <w:r>
        <w:rPr>
          <w:rFonts w:ascii="SimSun" w:hAnsi="SimSun" w:eastAsia="SimSun"/>
          <w:b w:val="0"/>
          <w:sz w:val="21"/>
        </w:rPr>
        <w:t>各模块负责人准备POC演示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附录：相关文档与资源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《智忆助理系统架构设计文档v2.0》- 刘架构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《TiDB最佳实践与踩坑指南》- 陈运维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《LLM大模型选型评估报告》- 赵DevOps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《数据安全与隐私合规检查清单》- 李安全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《项目排期与资源计划表》- 张秘书</w:t>
      </w:r>
    </w:p>
    <w:p/>
    <w:p/>
    <w:p>
      <w:pPr>
        <w:jc w:val="center"/>
      </w:pPr>
      <w:r>
        <w:rPr>
          <w:rFonts w:ascii="SimSun" w:hAnsi="SimSun" w:eastAsia="SimSun"/>
          <w:b w:val="0"/>
          <w:color w:val="808080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