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MediSimplifier: Medical Discharge Summary Simplification</w:t>
      </w:r>
    </w:p>
    <w:p>
      <w:pPr>
        <w:spacing w:after="200"/>
        <w:jc w:val="center"/>
      </w:pPr>
      <w:r>
        <w:rPr>
          <w:rFonts w:ascii="Times New Roman" w:cs="Times New Roman" w:eastAsia="Times New Roman" w:hAnsi="Times New Roman"/>
          <w:b/>
          <w:bCs/>
          <w:sz w:val="32"/>
          <w:szCs w:val="32"/>
        </w:rPr>
        <w:t xml:space="preserve">Using LoRA Fine-Tuned Large Language Models</w:t>
      </w:r>
    </w:p>
    <w:p>
      <w:pPr>
        <w:spacing w:after="100"/>
        <w:jc w:val="center"/>
      </w:pPr>
      <w:r>
        <w:rPr>
          <w:rFonts w:ascii="Times New Roman" w:cs="Times New Roman" w:eastAsia="Times New Roman" w:hAnsi="Times New Roman"/>
          <w:sz w:val="24"/>
          <w:szCs w:val="24"/>
        </w:rPr>
        <w:t xml:space="preserve">Guy Dor and Shmulik Avraham</w:t>
      </w:r>
    </w:p>
    <w:p>
      <w:pPr>
        <w:spacing w:after="400"/>
        <w:jc w:val="center"/>
      </w:pPr>
      <w:r>
        <w:rPr>
          <w:rFonts w:ascii="Times New Roman" w:cs="Times New Roman" w:eastAsia="Times New Roman" w:hAnsi="Times New Roman"/>
          <w:i/>
          <w:iCs/>
          <w:sz w:val="20"/>
          <w:szCs w:val="20"/>
        </w:rPr>
        <w:t xml:space="preserve">Technion - Israel Institute of Technology, DS25 Deep Learning Course</w:t>
      </w:r>
    </w:p>
    <w:p>
      <w:pPr>
        <w:spacing w:before="200" w:after="100"/>
        <w:jc w:val="center"/>
      </w:pPr>
      <w:r>
        <w:rPr>
          <w:rFonts w:ascii="Times New Roman" w:cs="Times New Roman" w:eastAsia="Times New Roman" w:hAnsi="Times New Roman"/>
          <w:b/>
          <w:bCs/>
          <w:i/>
          <w:iCs/>
          <w:sz w:val="22"/>
          <w:szCs w:val="22"/>
        </w:rPr>
        <w:t xml:space="preserve">Abstract</w:t>
      </w:r>
    </w:p>
    <w:p>
      <w:pPr>
        <w:spacing w:after="200" w:line="276"/>
        <w:jc w:val="both"/>
      </w:pPr>
      <w:r>
        <w:rPr>
          <w:rFonts w:ascii="Times New Roman" w:cs="Times New Roman" w:eastAsia="Times New Roman" w:hAnsi="Times New Roman"/>
          <w:i/>
          <w:iCs/>
          <w:sz w:val="18"/>
          <w:szCs w:val="18"/>
        </w:rPr>
        <w:t xml:space="preserve">Medical discharge summaries are critical documents for patient comprehension and continuity of care, yet their complex medical terminology creates significant barriers to patient understanding. This paper presents MediSimplifier, a system for automatically simplifying medical discharge summaries to a 6th-grade reading level using Low-Rank Adaptation (LoRA) fine-tuning of large language models. We evaluate three models: OpenBioLLM-8B (medical-domain Llama3), BioMistral-7B-DARE (medical-domain Mistral), and Mistral-7B-Instruct-v0.2 (general-purpose). Using Claude Opus 4.5 as a teacher model to generate ground truth simplifications on the Asclepius Synthetic Clinical Notes dataset (10,000 samples), we conduct comprehensive ablation studies on LoRA hyperparameters including rank (8, 16, 32), target modules (q_only, q_v, all_attn), and training data size (2K, 4K, 8K samples). Our results demonstrate that LoRA fine-tuning achieves 53-157% improvement in ROUGE-L scores over zero-shot baselines. Notably, OpenBioLLM-8B, despite having the worst zero-shot performance, achieves the best fine-tuned results (ROUGE-L: 0.6749, SARI: 74.64, BERTScore: 0.9498), representing a complete ranking reversal. All models successfully reduce reading complexity from college level (FK-Grade 14.50) to 7th grade level (FK-Grade 6.91-7.16), achieving approximately 50% readability improvement. Statistical analysis confirms all pairwise model differences are significant (p &lt; 0.001). Our ablation studies reveal that higher LoRA rank (r=32) and more target modules (all_attn) consistently improve performance, contradicting original LoRA findings that suggested r=4-8 is sufficient.</w:t>
      </w:r>
    </w:p>
    <w:p>
      <w:pPr>
        <w:spacing w:after="40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i/>
          <w:iCs/>
          <w:sz w:val="18"/>
          <w:szCs w:val="18"/>
        </w:rPr>
        <w:t xml:space="preserve">Medical text simplification, Large language models, LoRA fine-tuning, Natural language processing, Healthcare NLP, Readability</w:t>
      </w:r>
    </w:p>
    <w:p>
      <w:pPr>
        <w:pStyle w:val="Heading1"/>
        <w:spacing w:before="400" w:after="200"/>
        <w:jc w:val="left"/>
      </w:pPr>
      <w:r>
        <w:rPr>
          <w:rFonts w:ascii="Times New Roman" w:cs="Times New Roman" w:eastAsia="Times New Roman" w:hAnsi="Times New Roman"/>
          <w:b/>
          <w:bCs/>
          <w:sz w:val="24"/>
          <w:szCs w:val="24"/>
        </w:rPr>
        <w:t xml:space="preserve">I. INTRODUCTION</w:t>
      </w:r>
    </w:p>
    <w:p>
      <w:pPr>
        <w:spacing w:after="200" w:line="276"/>
        <w:ind w:firstLine="720"/>
        <w:jc w:val="both"/>
      </w:pPr>
      <w:r>
        <w:rPr>
          <w:rFonts w:ascii="Times New Roman" w:cs="Times New Roman" w:eastAsia="Times New Roman" w:hAnsi="Times New Roman"/>
          <w:sz w:val="20"/>
          <w:szCs w:val="20"/>
        </w:rPr>
        <w:t xml:space="preserve">Medical discharge summaries serve as essential communication tools between healthcare providers and patients, documenting diagnoses, treatments, medications, and follow-up instructions. However, these documents are typically written at college reading levels, far exceeding the health literacy of the average patient. The National Assessment of Adult Literacy found that only 12% of American adults have proficient health literacy, creating a critical gap between medical communication and patient comprehension.</w:t>
      </w:r>
    </w:p>
    <w:p>
      <w:pPr>
        <w:spacing w:after="200" w:line="276"/>
        <w:ind w:firstLine="720"/>
        <w:jc w:val="both"/>
      </w:pPr>
      <w:r>
        <w:rPr>
          <w:rFonts w:ascii="Times New Roman" w:cs="Times New Roman" w:eastAsia="Times New Roman" w:hAnsi="Times New Roman"/>
          <w:sz w:val="20"/>
          <w:szCs w:val="20"/>
        </w:rPr>
        <w:t xml:space="preserve">Text simplification, the task of transforming complex text into more accessible versions while preserving meaning, has emerged as a promising approach to address this challenge. Recent advances in large language models (LLMs) have demonstrated remarkable capabilities in natural language understanding and generation tasks. However, deploying these models for medical text simplification presents unique challenges: medical terminology requires domain expertise, simplification must preserve critical health information, and the target reading level must be appropriate for diverse patient populations.</w:t>
      </w:r>
    </w:p>
    <w:p>
      <w:pPr>
        <w:spacing w:after="200" w:line="276"/>
        <w:ind w:firstLine="720"/>
        <w:jc w:val="both"/>
      </w:pPr>
      <w:r>
        <w:rPr>
          <w:rFonts w:ascii="Times New Roman" w:cs="Times New Roman" w:eastAsia="Times New Roman" w:hAnsi="Times New Roman"/>
          <w:sz w:val="20"/>
          <w:szCs w:val="20"/>
        </w:rPr>
        <w:t xml:space="preserve">This paper introduces MediSimplifier, a comprehensive framework for medical discharge summary simplification using parameter-efficient fine-tuning. Our approach leverages Low-Rank Adaptation (LoRA) to fine-tune pre-trained language models on a dataset of 10,000 synthetic clinical notes with Claude-generated ground truth simplifications. We conduct extensive ablation studies to identify optimal hyperparameters and evaluate three models spanning medical-domain and general-purpose architectures.</w:t>
      </w:r>
    </w:p>
    <w:p>
      <w:pPr>
        <w:spacing w:after="200" w:line="276"/>
        <w:ind w:firstLine="720"/>
        <w:jc w:val="both"/>
      </w:pPr>
      <w:r>
        <w:rPr>
          <w:rFonts w:ascii="Times New Roman" w:cs="Times New Roman" w:eastAsia="Times New Roman" w:hAnsi="Times New Roman"/>
          <w:sz w:val="20"/>
          <w:szCs w:val="20"/>
        </w:rPr>
        <w:t xml:space="preserve">Our contributions include: (1) A systematic comparison of medical-domain versus general-purpose LLMs for text simplification, revealing a surprising ranking reversal after fine-tuning; (2) Comprehensive ablation studies demonstrating that higher LoRA ranks and broader target module selection improve performance, contradicting original LoRA recommendations; (3) Statistical validation showing all fine-tuned models achieve approximately 50% readability reduction while maintaining semantic fidelity; and (4) Practical guidelines for applying LoRA fine-tuning to medical NLP tasks.</w:t>
      </w:r>
    </w:p>
    <w:p>
      <w:pPr>
        <w:spacing w:before="200" w:after="100"/>
        <w:jc w:val="center"/>
      </w:pPr>
      <w:r>
        <w:drawing>
          <wp:inline distT="0" distB="0" distL="0" distR="0">
            <wp:extent cx="5524500" cy="4000500"/>
            <wp:effectExtent t="0" r="0" b="0" l="0"/>
            <wp:docPr id="1" name="fig1" descr="MediSimplifier project overview showing (A) LoRA fine-tuning improvement, (B) ranking reversal phenomenon, (C) readability reduction from college to 7th grade level, and (D) multi-metric comparison of fine-tuned mode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 MediSimplifier project overview showing (A) LoRA fine-tuning improvement, (B) ranking reversal phenomenon, (C) readability reduction from college to 7th grade level, and (D) multi-metric comparison of fine-tuned models.</w:t>
      </w:r>
    </w:p>
    <w:p>
      <w:pPr>
        <w:pStyle w:val="Heading1"/>
        <w:spacing w:before="400" w:after="200"/>
        <w:jc w:val="left"/>
      </w:pPr>
      <w:r>
        <w:rPr>
          <w:rFonts w:ascii="Times New Roman" w:cs="Times New Roman" w:eastAsia="Times New Roman" w:hAnsi="Times New Roman"/>
          <w:b/>
          <w:bCs/>
          <w:sz w:val="24"/>
          <w:szCs w:val="24"/>
        </w:rPr>
        <w:t xml:space="preserve">II. RELATED WORK</w:t>
      </w:r>
    </w:p>
    <w:p>
      <w:pPr>
        <w:spacing w:before="200" w:after="100"/>
      </w:pPr>
      <w:r>
        <w:rPr>
          <w:rFonts w:ascii="Times New Roman" w:cs="Times New Roman" w:eastAsia="Times New Roman" w:hAnsi="Times New Roman"/>
          <w:b/>
          <w:bCs/>
          <w:sz w:val="20"/>
          <w:szCs w:val="20"/>
        </w:rPr>
        <w:t xml:space="preserve">A. Text Simplification</w:t>
      </w:r>
    </w:p>
    <w:p>
      <w:pPr>
        <w:spacing w:after="200" w:line="276"/>
        <w:ind w:firstLine="720"/>
        <w:jc w:val="both"/>
      </w:pPr>
      <w:r>
        <w:rPr>
          <w:rFonts w:ascii="Times New Roman" w:cs="Times New Roman" w:eastAsia="Times New Roman" w:hAnsi="Times New Roman"/>
          <w:sz w:val="20"/>
          <w:szCs w:val="20"/>
        </w:rPr>
        <w:t xml:space="preserve">Text simplification has evolved from rule-based approaches to neural methods. Early work focused on lexical simplification and syntactic restructuring using handcrafted rules. The introduction of neural sequence-to-sequence models marked a paradigm shift, enabling end-to-end learning from parallel corpora of complex-simple sentence pairs. More recent approaches leverage pre-trained transformers, achieving state-of-the-art results on benchmarks like Newsela and Wikipedia simplification datasets.</w:t>
      </w:r>
    </w:p>
    <w:p>
      <w:pPr>
        <w:spacing w:before="200" w:after="100"/>
      </w:pPr>
      <w:r>
        <w:rPr>
          <w:rFonts w:ascii="Times New Roman" w:cs="Times New Roman" w:eastAsia="Times New Roman" w:hAnsi="Times New Roman"/>
          <w:b/>
          <w:bCs/>
          <w:sz w:val="20"/>
          <w:szCs w:val="20"/>
        </w:rPr>
        <w:t xml:space="preserve">B. Medical NLP</w:t>
      </w:r>
    </w:p>
    <w:p>
      <w:pPr>
        <w:spacing w:after="200" w:line="276"/>
        <w:ind w:firstLine="720"/>
        <w:jc w:val="both"/>
      </w:pPr>
      <w:r>
        <w:rPr>
          <w:rFonts w:ascii="Times New Roman" w:cs="Times New Roman" w:eastAsia="Times New Roman" w:hAnsi="Times New Roman"/>
          <w:sz w:val="20"/>
          <w:szCs w:val="20"/>
        </w:rPr>
        <w:t xml:space="preserve">The biomedical domain has seen significant development of specialized language models. BioBERT, PubMedBERT, and ClinicalBERT demonstrated the value of domain-specific pre-training on medical literature and clinical notes. More recently, medical-domain LLMs such as OpenBioLLM and BioMistral have been developed, incorporating medical knowledge during pre-training or continued pre-training phases. These models show improved performance on medical question answering and clinical NLP tasks.</w:t>
      </w:r>
    </w:p>
    <w:p>
      <w:pPr>
        <w:spacing w:before="200" w:after="100"/>
      </w:pPr>
      <w:r>
        <w:rPr>
          <w:rFonts w:ascii="Times New Roman" w:cs="Times New Roman" w:eastAsia="Times New Roman" w:hAnsi="Times New Roman"/>
          <w:b/>
          <w:bCs/>
          <w:sz w:val="20"/>
          <w:szCs w:val="20"/>
        </w:rPr>
        <w:t xml:space="preserve">C. Parameter-Efficient Fine-Tuning</w:t>
      </w:r>
    </w:p>
    <w:p>
      <w:pPr>
        <w:spacing w:after="200" w:line="276"/>
        <w:ind w:firstLine="720"/>
        <w:jc w:val="both"/>
      </w:pPr>
      <w:r>
        <w:rPr>
          <w:rFonts w:ascii="Times New Roman" w:cs="Times New Roman" w:eastAsia="Times New Roman" w:hAnsi="Times New Roman"/>
          <w:sz w:val="20"/>
          <w:szCs w:val="20"/>
        </w:rPr>
        <w:t xml:space="preserve">Parameter-efficient fine-tuning methods address the computational cost of adapting large models to downstream tasks. LoRA (Low-Rank Adaptation) introduces trainable low-rank decomposition matrices into transformer layers, enabling efficient adaptation with minimal parameter overhead. The original LoRA paper by Hu et al. (2021) suggested that rank values of 4-8 are sufficient for most tasks. However, subsequent work by Kalajdzievski (2023) on rsLoRA demonstrated that the standard scaling factor causes gradient collapse at higher ranks, and proposed a modified scaling that enables higher ranks to improve performance.</w:t>
      </w:r>
    </w:p>
    <w:p>
      <w:pPr>
        <w:pStyle w:val="Heading1"/>
        <w:spacing w:before="400" w:after="200"/>
        <w:jc w:val="left"/>
      </w:pPr>
      <w:r>
        <w:rPr>
          <w:rFonts w:ascii="Times New Roman" w:cs="Times New Roman" w:eastAsia="Times New Roman" w:hAnsi="Times New Roman"/>
          <w:b/>
          <w:bCs/>
          <w:sz w:val="24"/>
          <w:szCs w:val="24"/>
        </w:rPr>
        <w:t xml:space="preserve">III. METHODOLOGY</w:t>
      </w:r>
    </w:p>
    <w:p>
      <w:pPr>
        <w:spacing w:before="200" w:after="100"/>
      </w:pPr>
      <w:r>
        <w:rPr>
          <w:rFonts w:ascii="Times New Roman" w:cs="Times New Roman" w:eastAsia="Times New Roman" w:hAnsi="Times New Roman"/>
          <w:b/>
          <w:bCs/>
          <w:sz w:val="20"/>
          <w:szCs w:val="20"/>
        </w:rPr>
        <w:t xml:space="preserve">A. Dataset</w:t>
      </w:r>
    </w:p>
    <w:p>
      <w:pPr>
        <w:spacing w:after="200" w:line="276"/>
        <w:ind w:firstLine="720"/>
        <w:jc w:val="both"/>
      </w:pPr>
      <w:r>
        <w:rPr>
          <w:rFonts w:ascii="Times New Roman" w:cs="Times New Roman" w:eastAsia="Times New Roman" w:hAnsi="Times New Roman"/>
          <w:sz w:val="20"/>
          <w:szCs w:val="20"/>
        </w:rPr>
        <w:t xml:space="preserve">We use the Asclepius Synthetic Clinical Notes dataset, which contains 10,000 synthetic medical discharge summaries generated to resemble real clinical documentation while avoiding privacy concerns. The dataset provides diverse medical scenarios spanning multiple specialties and conditions. We partition the data into training (7,999 samples), validation (999 samples), and test (1,001 samples) splits.</w:t>
      </w:r>
    </w:p>
    <w:p>
      <w:pPr>
        <w:spacing w:before="200" w:after="100"/>
        <w:jc w:val="center"/>
      </w:pPr>
      <w:r>
        <w:drawing>
          <wp:inline distT="0" distB="0" distL="0" distR="0">
            <wp:extent cx="4953000" cy="3048000"/>
            <wp:effectExtent t="0" r="0" b="0" l="0"/>
            <wp:docPr id="1" name="fig2" descr="Distribution of clinical note lengths in the Asclepius dataset showing mean of 1,933 characters and median of 1,870 characters with right-skewed distrib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2. Distribution of clinical note lengths in the Asclepius dataset showing mean of 1,933 characters and median of 1,870 characters with right-skewed distribution.</w:t>
      </w:r>
    </w:p>
    <w:p>
      <w:pPr>
        <w:spacing w:before="200" w:after="100"/>
      </w:pPr>
      <w:r>
        <w:rPr>
          <w:rFonts w:ascii="Times New Roman" w:cs="Times New Roman" w:eastAsia="Times New Roman" w:hAnsi="Times New Roman"/>
          <w:b/>
          <w:bCs/>
          <w:sz w:val="20"/>
          <w:szCs w:val="20"/>
        </w:rPr>
        <w:t xml:space="preserve">B. Ground Truth Generation</w:t>
      </w:r>
    </w:p>
    <w:p>
      <w:pPr>
        <w:spacing w:after="200" w:line="276"/>
        <w:ind w:firstLine="720"/>
        <w:jc w:val="both"/>
      </w:pPr>
      <w:r>
        <w:rPr>
          <w:rFonts w:ascii="Times New Roman" w:cs="Times New Roman" w:eastAsia="Times New Roman" w:hAnsi="Times New Roman"/>
          <w:sz w:val="20"/>
          <w:szCs w:val="20"/>
        </w:rPr>
        <w:t xml:space="preserve">Ground truth simplifications were generated using Claude Opus 4.5 as a teacher model. Each discharge summary was processed with a detailed prompt specifying guidelines for simplification: replace medical jargon with everyday words, maintain all critical information (diagnoses, medications, follow-up instructions), use short clear sentences (15-20 words), target a 6th-grade reading level, preserve document structure, and maintain consistent patient reference style. The generated simplifications achieved a mean Flesch-Kincaid grade level of 7.23, representing a 50% reduction from source complexity (14.50).</w:t>
      </w:r>
    </w:p>
    <w:p>
      <w:pPr>
        <w:spacing w:before="200" w:after="100"/>
      </w:pPr>
      <w:r>
        <w:rPr>
          <w:rFonts w:ascii="Times New Roman" w:cs="Times New Roman" w:eastAsia="Times New Roman" w:hAnsi="Times New Roman"/>
          <w:b/>
          <w:bCs/>
          <w:sz w:val="20"/>
          <w:szCs w:val="20"/>
        </w:rPr>
        <w:t xml:space="preserve">C. Models</w:t>
      </w:r>
    </w:p>
    <w:p>
      <w:pPr>
        <w:spacing w:after="200" w:line="276"/>
        <w:ind w:firstLine="720"/>
        <w:jc w:val="both"/>
      </w:pPr>
      <w:r>
        <w:rPr>
          <w:rFonts w:ascii="Times New Roman" w:cs="Times New Roman" w:eastAsia="Times New Roman" w:hAnsi="Times New Roman"/>
          <w:sz w:val="20"/>
          <w:szCs w:val="20"/>
        </w:rPr>
        <w:t xml:space="preserve">We evaluate three large language models representing different pretraining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00"/>
      </w:tblGrid>
      <w:tr>
        <w:tc>
          <w:tcPr>
            <w:tcW w:type="dxa" w:w="2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3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HuggingFace Path</w:t>
            </w:r>
          </w:p>
        </w:tc>
        <w:tc>
          <w:tcPr>
            <w:tcW w:type="dxa" w:w="1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Type</w:t>
            </w:r>
          </w:p>
        </w:tc>
        <w:tc>
          <w:tcPr>
            <w:tcW w:type="dxa" w:w="18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Architecture</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OpenBioLLM-8B</w:t>
            </w:r>
          </w:p>
        </w:tc>
        <w:tc>
          <w:tcPr>
            <w:tcW w:type="dxa" w:w="3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aaditya/Llama3-OpenBioLLM-8B</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Medical</w:t>
            </w:r>
          </w:p>
        </w:tc>
        <w:tc>
          <w:tcPr>
            <w:tcW w:type="dxa" w:w="18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Llama3</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BioMistral-7B-DARE</w:t>
            </w:r>
          </w:p>
        </w:tc>
        <w:tc>
          <w:tcPr>
            <w:tcW w:type="dxa" w:w="3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BioMistral/BioMistral-7B-DARE</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Medical</w:t>
            </w:r>
          </w:p>
        </w:tc>
        <w:tc>
          <w:tcPr>
            <w:tcW w:type="dxa" w:w="18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Mistral</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Mistral-7B-Instruct-v0.2</w:t>
            </w:r>
          </w:p>
        </w:tc>
        <w:tc>
          <w:tcPr>
            <w:tcW w:type="dxa" w:w="3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mistralai/Mistral-7B-Instruct-v0.2</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General</w:t>
            </w:r>
          </w:p>
        </w:tc>
        <w:tc>
          <w:tcPr>
            <w:tcW w:type="dxa" w:w="18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Mistral</w:t>
            </w:r>
          </w:p>
        </w:tc>
      </w:tr>
    </w:tbl>
    <w:p>
      <w:pPr>
        <w:spacing w:after="300"/>
        <w:jc w:val="center"/>
      </w:pPr>
      <w:r>
        <w:rPr>
          <w:rFonts w:ascii="Times New Roman" w:cs="Times New Roman" w:eastAsia="Times New Roman" w:hAnsi="Times New Roman"/>
          <w:i/>
          <w:iCs/>
          <w:sz w:val="18"/>
          <w:szCs w:val="18"/>
        </w:rPr>
        <w:t xml:space="preserve">TABLE I: Models evaluated in this study</w:t>
      </w:r>
    </w:p>
    <w:p>
      <w:pPr>
        <w:spacing w:before="200" w:after="100"/>
      </w:pPr>
      <w:r>
        <w:rPr>
          <w:rFonts w:ascii="Times New Roman" w:cs="Times New Roman" w:eastAsia="Times New Roman" w:hAnsi="Times New Roman"/>
          <w:b/>
          <w:bCs/>
          <w:sz w:val="20"/>
          <w:szCs w:val="20"/>
        </w:rPr>
        <w:t xml:space="preserve">D. LoRA Configuration</w:t>
      </w:r>
    </w:p>
    <w:p>
      <w:pPr>
        <w:spacing w:after="200" w:line="276"/>
        <w:ind w:firstLine="720"/>
        <w:jc w:val="both"/>
      </w:pPr>
      <w:r>
        <w:rPr>
          <w:rFonts w:ascii="Times New Roman" w:cs="Times New Roman" w:eastAsia="Times New Roman" w:hAnsi="Times New Roman"/>
          <w:sz w:val="20"/>
          <w:szCs w:val="20"/>
        </w:rPr>
        <w:t xml:space="preserve">LoRA introduces trainable low-rank matrices A and B into transformer attention layers, where the adapted weight W' = W + BA. The rank r determines the dimensionality of the low-rank approximation, and alpha (α) controls the scaling factor. We investigate rank values of 8, 16, and 32, with alpha set to 2×r following common practice. Target modules determine which weight matrices receive LoRA adaptation: we compare q_only (query projection only), q_v (query and value projections), and all_attn (query, key, value, and output projections). Based on literature supporting rsLoRA for higher ranks (Kalajdzievski 2023), we adopt rsLoRA scaling (α/√r instead of α/r) for final training.</w:t>
      </w:r>
    </w:p>
    <w:p>
      <w:pPr>
        <w:spacing w:before="200" w:after="100"/>
      </w:pPr>
      <w:r>
        <w:rPr>
          <w:rFonts w:ascii="Times New Roman" w:cs="Times New Roman" w:eastAsia="Times New Roman" w:hAnsi="Times New Roman"/>
          <w:b/>
          <w:bCs/>
          <w:sz w:val="20"/>
          <w:szCs w:val="20"/>
        </w:rPr>
        <w:t xml:space="preserve">E. Training Configuration</w:t>
      </w:r>
    </w:p>
    <w:p>
      <w:pPr>
        <w:spacing w:after="200" w:line="276"/>
        <w:ind w:firstLine="720"/>
        <w:jc w:val="both"/>
      </w:pPr>
      <w:r>
        <w:rPr>
          <w:rFonts w:ascii="Times New Roman" w:cs="Times New Roman" w:eastAsia="Times New Roman" w:hAnsi="Times New Roman"/>
          <w:sz w:val="20"/>
          <w:szCs w:val="20"/>
        </w:rPr>
        <w:t xml:space="preserve">All models were trained using the following hyperparameters: 3 epochs for full training (1 epoch for ablation studies), batch size of 4 with gradient accumulation of 4 (effective batch size 16), learning rate of 2e-4 with cosine scheduling and 3% warmup, BF16 mixed precision, and maximum sequence length of 2048 tokens. Training was conducted on RunPod H200 SXM GPUs with parallel execution across three GPUs. Model-specific chat templates were used consistently for both training and inference: ChatML format for OpenBioLLM-8B and Mistral instruction format for BioMistral and Mistral-7B.</w:t>
      </w:r>
    </w:p>
    <w:p>
      <w:pPr>
        <w:spacing w:before="200" w:after="100"/>
      </w:pPr>
      <w:r>
        <w:rPr>
          <w:rFonts w:ascii="Times New Roman" w:cs="Times New Roman" w:eastAsia="Times New Roman" w:hAnsi="Times New Roman"/>
          <w:b/>
          <w:bCs/>
          <w:sz w:val="20"/>
          <w:szCs w:val="20"/>
        </w:rPr>
        <w:t xml:space="preserve">F. Evaluation Metrics</w:t>
      </w:r>
    </w:p>
    <w:p>
      <w:pPr>
        <w:spacing w:after="200" w:line="276"/>
        <w:ind w:firstLine="720"/>
        <w:jc w:val="both"/>
      </w:pPr>
      <w:r>
        <w:rPr>
          <w:rFonts w:ascii="Times New Roman" w:cs="Times New Roman" w:eastAsia="Times New Roman" w:hAnsi="Times New Roman"/>
          <w:sz w:val="20"/>
          <w:szCs w:val="20"/>
        </w:rPr>
        <w:t xml:space="preserve">We evaluate model performance using four complementary metrics: (1) ROUGE-L measures the longest common subsequence overlap between predictions and references, capturing fluency and content preservation; (2) SARI (System output Against References and against the Input) specifically evaluates simplification quality by measuring keep, delete, and add operations; (3) BERTScore computes semantic similarity using contextual embeddings, assessing meaning preservation independent of surface form; (4) Flesch-Kincaid Grade Level quantifies readability based on sentence length and syllable count, with lower scores indicating easier reading. Target values are: higher ROUGE-L, SARI ≥ 40, higher BERTScore, and FK-Grade ≤ 6.</w:t>
      </w:r>
    </w:p>
    <w:p>
      <w:pPr>
        <w:pStyle w:val="Heading1"/>
        <w:spacing w:before="400" w:after="200"/>
        <w:jc w:val="left"/>
      </w:pPr>
      <w:r>
        <w:rPr>
          <w:rFonts w:ascii="Times New Roman" w:cs="Times New Roman" w:eastAsia="Times New Roman" w:hAnsi="Times New Roman"/>
          <w:b/>
          <w:bCs/>
          <w:sz w:val="24"/>
          <w:szCs w:val="24"/>
        </w:rPr>
        <w:t xml:space="preserve">IV. EXPERIMENTAL DESIGN</w:t>
      </w:r>
    </w:p>
    <w:p>
      <w:pPr>
        <w:spacing w:before="200" w:after="100"/>
      </w:pPr>
      <w:r>
        <w:rPr>
          <w:rFonts w:ascii="Times New Roman" w:cs="Times New Roman" w:eastAsia="Times New Roman" w:hAnsi="Times New Roman"/>
          <w:b/>
          <w:bCs/>
          <w:sz w:val="20"/>
          <w:szCs w:val="20"/>
        </w:rPr>
        <w:t xml:space="preserve">A. Ablation Study Design</w:t>
      </w:r>
    </w:p>
    <w:p>
      <w:pPr>
        <w:spacing w:after="200" w:line="276"/>
        <w:ind w:firstLine="720"/>
        <w:jc w:val="both"/>
      </w:pPr>
      <w:r>
        <w:rPr>
          <w:rFonts w:ascii="Times New Roman" w:cs="Times New Roman" w:eastAsia="Times New Roman" w:hAnsi="Times New Roman"/>
          <w:sz w:val="20"/>
          <w:szCs w:val="20"/>
        </w:rPr>
        <w:t xml:space="preserve">We conduct sequential ablation studies to systematically identify optimal hyperparameters. Each phase fixes previous optimal values and varies a single parameter. Phase 1 (Rank Ablation) compares r ∈ {8, 16, 32} with fixed q_v modules. Phase 2 (Module Ablation) uses optimal rank from Phase 1 and compares target modules ∈ {q_only, q_v, all_attn}. Phase 3 (Data Size Ablation) uses optimal rank and modules to compare training sizes ∈ {2000, 4000, 7999} samples. Ablation runs use 1 epoch to enable rapid iteration. All ablations are conducted on two representative models: OpenBioLLM-8B (Llama3 architecture) and Mistral-7B (Mistral architecture).</w:t>
      </w:r>
    </w:p>
    <w:p>
      <w:pPr>
        <w:spacing w:before="200" w:after="100"/>
      </w:pPr>
      <w:r>
        <w:rPr>
          <w:rFonts w:ascii="Times New Roman" w:cs="Times New Roman" w:eastAsia="Times New Roman" w:hAnsi="Times New Roman"/>
          <w:b/>
          <w:bCs/>
          <w:sz w:val="20"/>
          <w:szCs w:val="20"/>
        </w:rPr>
        <w:t xml:space="preserve">B. Research Questions</w:t>
      </w:r>
    </w:p>
    <w:p>
      <w:pPr>
        <w:spacing w:after="200" w:line="276"/>
        <w:ind w:firstLine="720"/>
        <w:jc w:val="both"/>
      </w:pPr>
      <w:r>
        <w:rPr>
          <w:rFonts w:ascii="Times New Roman" w:cs="Times New Roman" w:eastAsia="Times New Roman" w:hAnsi="Times New Roman"/>
          <w:sz w:val="20"/>
          <w:szCs w:val="20"/>
        </w:rPr>
        <w:t xml:space="preserve">Our experiments address twelve research questions spanning model selection, LoRA configuration, data efficiency, and evaluation: RQ1-2 examine zero-shot baseline performance; RQ3-5 assess fine-tuning improvements and ranking changes; RQ4, RQ6, RQ12 investigate optimal LoRA hyperparameters; RQ7 analyzes data efficiency; RQ8-9 explore learning dynamics and parameter efficiency; RQ10-11 evaluate final model quality and readability achievement.</w:t>
      </w:r>
    </w:p>
    <w:p>
      <w:pPr>
        <w:spacing w:before="200" w:after="100"/>
        <w:jc w:val="center"/>
      </w:pPr>
      <w:r>
        <w:drawing>
          <wp:inline distT="0" distB="0" distL="0" distR="0">
            <wp:extent cx="5334000" cy="4572000"/>
            <wp:effectExtent t="0" r="0" b="0" l="0"/>
            <wp:docPr id="1" name="fig3" descr="Summary of all 12 research questions addressed in this study with key findings. Green indicates positive/confirmed findings, red indicates negative/reversal findings, orange indicates contradictions with prior literature, and blue indicates insights or decis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72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3. Summary of all 12 research questions addressed in this study with key findings. Green indicates positive/confirmed findings, red indicates negative/reversal findings, orange indicates contradictions with prior literature, and blue indicates insights or decisions.</w:t>
      </w:r>
    </w:p>
    <w:p>
      <w:pPr>
        <w:pStyle w:val="Heading1"/>
        <w:spacing w:before="400" w:after="200"/>
        <w:jc w:val="left"/>
      </w:pPr>
      <w:r>
        <w:rPr>
          <w:rFonts w:ascii="Times New Roman" w:cs="Times New Roman" w:eastAsia="Times New Roman" w:hAnsi="Times New Roman"/>
          <w:b/>
          <w:bCs/>
          <w:sz w:val="24"/>
          <w:szCs w:val="24"/>
        </w:rPr>
        <w:t xml:space="preserve">V. RESULTS</w:t>
      </w:r>
    </w:p>
    <w:p>
      <w:pPr>
        <w:spacing w:before="200" w:after="100"/>
      </w:pPr>
      <w:r>
        <w:rPr>
          <w:rFonts w:ascii="Times New Roman" w:cs="Times New Roman" w:eastAsia="Times New Roman" w:hAnsi="Times New Roman"/>
          <w:b/>
          <w:bCs/>
          <w:sz w:val="20"/>
          <w:szCs w:val="20"/>
        </w:rPr>
        <w:t xml:space="preserve">A. Zero-Shot Baseline Results</w:t>
      </w:r>
    </w:p>
    <w:p>
      <w:pPr>
        <w:spacing w:after="200" w:line="276"/>
        <w:ind w:firstLine="720"/>
        <w:jc w:val="both"/>
      </w:pPr>
      <w:r>
        <w:rPr>
          <w:rFonts w:ascii="Times New Roman" w:cs="Times New Roman" w:eastAsia="Times New Roman" w:hAnsi="Times New Roman"/>
          <w:sz w:val="20"/>
          <w:szCs w:val="20"/>
        </w:rPr>
        <w:t xml:space="preserve">Table II presents zero-shot baseline performance on the test set. BioMistral-7B-DARE achieves the best zero-shot results across all metrics, with ROUGE-L of 0.4120, SARI of 51.91, and BERTScore of 0.7426. Notably, the general-purpose Mistral-7B outperforms the medical-domain OpenBioLLM-8B, suggesting that medical pretraining does not guarantee superior zero-shot simplification performance (RQ1: No, medical pretraining does not consistently improve zero-shot simplification).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1600"/>
        <w:gridCol w:w="1400"/>
        <w:gridCol w:w="1200"/>
      </w:tblGrid>
      <w:tr>
        <w:tc>
          <w:tcPr>
            <w:tcW w:type="dxa" w:w="2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14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ROUGE-L</w:t>
            </w:r>
          </w:p>
        </w:tc>
        <w:tc>
          <w:tcPr>
            <w:tcW w:type="dxa" w:w="12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SARI</w:t>
            </w:r>
          </w:p>
        </w:tc>
        <w:tc>
          <w:tcPr>
            <w:tcW w:type="dxa" w:w="16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BERTScore</w:t>
            </w:r>
          </w:p>
        </w:tc>
        <w:tc>
          <w:tcPr>
            <w:tcW w:type="dxa" w:w="14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FK-Grade</w:t>
            </w:r>
          </w:p>
        </w:tc>
        <w:tc>
          <w:tcPr>
            <w:tcW w:type="dxa" w:w="12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Type</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BioMistral-7B-DARE</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0.4120</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51.91</w:t>
            </w:r>
          </w:p>
        </w:tc>
        <w:tc>
          <w:tcPr>
            <w:tcW w:type="dxa" w:w="16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0.7426</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9.52</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Medical</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Mistral-7B</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0.3912</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46.38</w:t>
            </w:r>
          </w:p>
        </w:tc>
        <w:tc>
          <w:tcPr>
            <w:tcW w:type="dxa" w:w="16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0.7335</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10.60</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General</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OpenBioLLM-8B</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0.2623</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36.98</w:t>
            </w:r>
          </w:p>
        </w:tc>
        <w:tc>
          <w:tcPr>
            <w:tcW w:type="dxa" w:w="16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0.6371</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12.53</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Medical</w:t>
            </w:r>
          </w:p>
        </w:tc>
      </w:tr>
    </w:tbl>
    <w:p>
      <w:pPr>
        <w:spacing w:after="300"/>
        <w:jc w:val="center"/>
      </w:pPr>
      <w:r>
        <w:rPr>
          <w:rFonts w:ascii="Times New Roman" w:cs="Times New Roman" w:eastAsia="Times New Roman" w:hAnsi="Times New Roman"/>
          <w:i/>
          <w:iCs/>
          <w:sz w:val="18"/>
          <w:szCs w:val="18"/>
        </w:rPr>
        <w:t xml:space="preserve">TABLE II: Zero-shot baseline performance on test set (1,001 samples)</w:t>
      </w:r>
    </w:p>
    <w:p>
      <w:pPr>
        <w:spacing w:before="200" w:after="100"/>
        <w:jc w:val="center"/>
      </w:pPr>
      <w:r>
        <w:drawing>
          <wp:inline distT="0" distB="0" distL="0" distR="0">
            <wp:extent cx="5334000" cy="3619500"/>
            <wp:effectExtent t="0" r="0" b="0" l="0"/>
            <wp:docPr id="1" name="fig4" descr="Zero-shot baseline performance comparison across four metrics: ROUGE-L, SARI, FK-Grade, and BERTScore. BioMistral-7B-DARE achieves best performance on all metrics, while all models fail to meet the FK-Grade target of ≤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4. Zero-shot baseline performance comparison across four metrics: ROUGE-L, SARI, FK-Grade, and BERTScore. BioMistral-7B-DARE achieves best performance on all metrics, while all models fail to meet the FK-Grade target of ≤6.</w:t>
      </w:r>
    </w:p>
    <w:p>
      <w:pPr>
        <w:spacing w:before="200" w:after="100"/>
      </w:pPr>
      <w:r>
        <w:rPr>
          <w:rFonts w:ascii="Times New Roman" w:cs="Times New Roman" w:eastAsia="Times New Roman" w:hAnsi="Times New Roman"/>
          <w:b/>
          <w:bCs/>
          <w:sz w:val="20"/>
          <w:szCs w:val="20"/>
        </w:rPr>
        <w:t xml:space="preserve">B. Ablation Study Results</w:t>
      </w:r>
    </w:p>
    <w:p>
      <w:pPr>
        <w:spacing w:after="200" w:line="276"/>
        <w:ind w:firstLine="720"/>
        <w:jc w:val="both"/>
      </w:pPr>
      <w:r>
        <w:rPr>
          <w:rFonts w:ascii="Times New Roman" w:cs="Times New Roman" w:eastAsia="Times New Roman" w:hAnsi="Times New Roman"/>
          <w:sz w:val="20"/>
          <w:szCs w:val="20"/>
        </w:rPr>
        <w:t xml:space="preserve">Phase 1 (Rank Ablation): Both architectures show consistent improvement with higher rank. For OpenBioLLM-8B (Llama3): r=8 achieves ROUGE-L 0.6033, r=16 achieves 0.6080, and r=32 achieves 0.6183. For Mistral-7B: r=8 achieves 0.6047, r=16 achieves 0.6048, and r=32 achieves 0.6171. This finding contradicts the original LoRA paper's claim that r=4-8 is sufficient and supports the rsLoRA hypothesis that gradient issues affect standard LoRA scaling at higher ranks (RQ4: r=32 is optimal).</w:t>
      </w:r>
    </w:p>
    <w:p>
      <w:pPr>
        <w:spacing w:after="200" w:line="276"/>
        <w:ind w:firstLine="720"/>
        <w:jc w:val="both"/>
      </w:pPr>
      <w:r>
        <w:rPr>
          <w:rFonts w:ascii="Times New Roman" w:cs="Times New Roman" w:eastAsia="Times New Roman" w:hAnsi="Times New Roman"/>
          <w:sz w:val="20"/>
          <w:szCs w:val="20"/>
        </w:rPr>
        <w:t xml:space="preserve">Phase 2 (Module Ablation): Using optimal r=32, both architectures benefit from more target modules. For OpenBioLLM-8B: q_only achieves ROUGE-L 0.6006, q_v achieves 0.6192, and all_attn achieves 0.6357. For Mistral-7B: q_only achieves 0.5863, q_v achieves 0.6156, and all_attn achieves 0.6242. Despite all_attn using approximately twice the parameters of q_v (27M vs 14M), the quality improvement justifies the cost (RQ6: all_attn is optimal; RQ9: quality over parameter efficiency).</w:t>
      </w:r>
    </w:p>
    <w:p>
      <w:pPr>
        <w:spacing w:after="200" w:line="276"/>
        <w:ind w:firstLine="720"/>
        <w:jc w:val="both"/>
      </w:pPr>
      <w:r>
        <w:rPr>
          <w:rFonts w:ascii="Times New Roman" w:cs="Times New Roman" w:eastAsia="Times New Roman" w:hAnsi="Times New Roman"/>
          <w:sz w:val="20"/>
          <w:szCs w:val="20"/>
        </w:rPr>
        <w:t xml:space="preserve">Phase 3 (Data Size Ablation): Using optimal r=32 and all_attn, both architectures show consistent improvement with more training data. For OpenBioLLM-8B: 2K samples achieves ROUGE-L 0.6014, 4K achieves 0.6198, and 8K achieves 0.6345 (+5.5% improvement from 2K to 8K). For Mistral-7B: 2K achieves 0.5953, 4K achieves 0.6168, and 8K achieves 0.6349 (+6.6% improvement). Diminishing returns are observed at 4K, which achieves approximately 97% of 8K performance (RQ7: more data improves performance).</w:t>
      </w:r>
    </w:p>
    <w:p>
      <w:pPr>
        <w:spacing w:before="200" w:after="100"/>
        <w:jc w:val="center"/>
      </w:pPr>
      <w:r>
        <w:drawing>
          <wp:inline distT="0" distB="0" distL="0" distR="0">
            <wp:extent cx="5524500" cy="2667000"/>
            <wp:effectExtent t="0" r="0" b="0" l="0"/>
            <wp:docPr id="1" name="fig5" descr="LoRA ablation study results: (A) Phase 1 shows higher rank consistently improves performance with r=32 optimal; (B) Phase 2 shows all_attn modules outperform q_only and q_v configurations; (C) Phase 3 shows more training data improves performance with diminishing returns at 4K sampl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67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5. LoRA ablation study results: (A) Phase 1 shows higher rank consistently improves performance with r=32 optimal; (B) Phase 2 shows all_attn modules outperform q_only and q_v configurations; (C) Phase 3 shows more training data improves performance with diminishing returns at 4K samples.</w:t>
      </w:r>
    </w:p>
    <w:p>
      <w:pPr>
        <w:spacing w:before="200" w:after="100"/>
      </w:pPr>
      <w:r>
        <w:rPr>
          <w:rFonts w:ascii="Times New Roman" w:cs="Times New Roman" w:eastAsia="Times New Roman" w:hAnsi="Times New Roman"/>
          <w:b/>
          <w:bCs/>
          <w:sz w:val="20"/>
          <w:szCs w:val="20"/>
        </w:rPr>
        <w:t xml:space="preserve">C. Fine-Tuned Model Results</w:t>
      </w:r>
    </w:p>
    <w:p>
      <w:pPr>
        <w:spacing w:after="200" w:line="276"/>
        <w:ind w:firstLine="720"/>
        <w:jc w:val="both"/>
      </w:pPr>
      <w:r>
        <w:rPr>
          <w:rFonts w:ascii="Times New Roman" w:cs="Times New Roman" w:eastAsia="Times New Roman" w:hAnsi="Times New Roman"/>
          <w:sz w:val="20"/>
          <w:szCs w:val="20"/>
        </w:rPr>
        <w:t xml:space="preserve">Table III presents fine-tuned model performance using optimal configuration (r=32, all_attn, rsLoRA=True, 3 epochs, 7999 samples). All models show substantial improvement over baselines. OpenBioLLM-8B achieves the best performance despite having the worst baseline, demonstrating a complete ranking reversal (RQ5: medical pretraining advantage does not persist; RQ8: inverse correlation between baseline and improvement).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1500"/>
        <w:gridCol w:w="1300"/>
        <w:gridCol w:w="1400"/>
      </w:tblGrid>
      <w:tr>
        <w:tc>
          <w:tcPr>
            <w:tcW w:type="dxa" w:w="2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14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ROUGE-L</w:t>
            </w:r>
          </w:p>
        </w:tc>
        <w:tc>
          <w:tcPr>
            <w:tcW w:type="dxa" w:w="12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SARI</w:t>
            </w:r>
          </w:p>
        </w:tc>
        <w:tc>
          <w:tcPr>
            <w:tcW w:type="dxa" w:w="15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BERTScore</w:t>
            </w:r>
          </w:p>
        </w:tc>
        <w:tc>
          <w:tcPr>
            <w:tcW w:type="dxa" w:w="13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FK-Grade</w:t>
            </w:r>
          </w:p>
        </w:tc>
        <w:tc>
          <w:tcPr>
            <w:tcW w:type="dxa" w:w="1400"/>
            <w:tcBorders>
              <w:top w:val="single" w:color="000000" w:sz="1"/>
              <w:left w:val="single" w:color="000000" w:sz="1"/>
              <w:bottom w:val="single" w:color="000000" w:sz="1"/>
              <w:right w:val="single" w:color="000000" w:sz="1"/>
            </w:tcBorders>
            <w:shd w:fill="E8E8E8"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 ROUGE-L</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OpenBioLLM-8B</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0.6749</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74.64</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0.9498</w:t>
            </w:r>
          </w:p>
        </w:tc>
        <w:tc>
          <w:tcPr>
            <w:tcW w:type="dxa" w:w="13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7.16</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+157.3%</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Mistral-7B</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0.6491</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73.79</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0.9464</w:t>
            </w:r>
          </w:p>
        </w:tc>
        <w:tc>
          <w:tcPr>
            <w:tcW w:type="dxa" w:w="13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6.91</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+65.9%</w:t>
            </w:r>
          </w:p>
        </w:tc>
      </w:tr>
      <w:tr>
        <w:tc>
          <w:tcPr>
            <w:tcW w:type="dxa" w:w="2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BioMistral-7B-DARE</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0.6318</w:t>
            </w:r>
          </w:p>
        </w:tc>
        <w:tc>
          <w:tcPr>
            <w:tcW w:type="dxa" w:w="12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73.01</w:t>
            </w:r>
          </w:p>
        </w:tc>
        <w:tc>
          <w:tcPr>
            <w:tcW w:type="dxa" w:w="15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0.9439</w:t>
            </w:r>
          </w:p>
        </w:tc>
        <w:tc>
          <w:tcPr>
            <w:tcW w:type="dxa" w:w="13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6.95</w:t>
            </w:r>
          </w:p>
        </w:tc>
        <w:tc>
          <w:tcPr>
            <w:tcW w:type="dxa" w:w="1400"/>
            <w:tcBorders>
              <w:top w:val="single" w:color="000000" w:sz="1"/>
              <w:left w:val="single" w:color="000000" w:sz="1"/>
              <w:bottom w:val="single" w:color="000000" w:sz="1"/>
              <w:right w:val="single" w:color="000000"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w:t>
            </w:r>
          </w:p>
        </w:tc>
      </w:tr>
    </w:tbl>
    <w:p>
      <w:pPr>
        <w:spacing w:after="300"/>
        <w:jc w:val="center"/>
      </w:pPr>
      <w:r>
        <w:rPr>
          <w:rFonts w:ascii="Times New Roman" w:cs="Times New Roman" w:eastAsia="Times New Roman" w:hAnsi="Times New Roman"/>
          <w:i/>
          <w:iCs/>
          <w:sz w:val="18"/>
          <w:szCs w:val="18"/>
        </w:rPr>
        <w:t xml:space="preserve">TABLE III: Fine-tuned model performance on test set (optimal configuration)</w:t>
      </w:r>
    </w:p>
    <w:p>
      <w:pPr>
        <w:spacing w:before="200" w:after="100"/>
        <w:jc w:val="center"/>
      </w:pPr>
      <w:r>
        <w:drawing>
          <wp:inline distT="0" distB="0" distL="0" distR="0">
            <wp:extent cx="5334000" cy="4000500"/>
            <wp:effectExtent t="0" r="0" b="0" l="0"/>
            <wp:docPr id="1" name="fig6" descr="Phase 5 full training results: (A) ROUGE-L comparison showing OpenBioLLM-8B achieving best fine-tuned score despite worst baseline; (B) FK-Grade reduction with all models approaching target ≤6; (C) Percentage improvement over baseline with OpenBioLLM-8B showing +156% improve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6. Phase 5 full training results: (A) ROUGE-L comparison showing OpenBioLLM-8B achieving best fine-tuned score despite worst baseline; (B) FK-Grade reduction with all models approaching target ≤6; (C) Percentage improvement over baseline with OpenBioLLM-8B showing +156% improvement.</w:t>
      </w:r>
    </w:p>
    <w:p>
      <w:pPr>
        <w:spacing w:before="200" w:after="100"/>
        <w:jc w:val="center"/>
      </w:pPr>
      <w:r>
        <w:drawing>
          <wp:inline distT="0" distB="0" distL="0" distR="0">
            <wp:extent cx="5524500" cy="2476500"/>
            <wp:effectExtent t="0" r="0" b="0" l="0"/>
            <wp:docPr id="1" name="fig7" descr="Baseline vs fine-tuned comparison across ROUGE-L, SARI, and BERTScore metrics. All models show substantial improvement after LoRA fine-tuning, with OpenBioLLM-8B showing the largest gai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76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7. Baseline vs fine-tuned comparison across ROUGE-L, SARI, and BERTScore metrics. All models show substantial improvement after LoRA fine-tuning, with OpenBioLLM-8B showing the largest gains.</w:t>
      </w:r>
    </w:p>
    <w:p>
      <w:pPr>
        <w:spacing w:before="200" w:after="100"/>
        <w:jc w:val="center"/>
      </w:pPr>
      <w:r>
        <w:drawing>
          <wp:inline distT="0" distB="0" distL="0" distR="0">
            <wp:extent cx="5143500" cy="3238500"/>
            <wp:effectExtent t="0" r="0" b="0" l="0"/>
            <wp:docPr id="1" name="fig8" descr="Fine-tuning improvement over baseline by metric and model. OpenBioLLM-8B achieves the highest improvement across all metrics: +157.3% ROUGE-L, +101.8% SARI, and +49.1% BERTScor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38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8. Fine-tuning improvement over baseline by metric and model. OpenBioLLM-8B achieves the highest improvement across all metrics: +157.3% ROUGE-L, +101.8% SARI, and +49.1% BERTScore.</w:t>
      </w:r>
    </w:p>
    <w:p>
      <w:pPr>
        <w:spacing w:before="200" w:after="100"/>
      </w:pPr>
      <w:r>
        <w:rPr>
          <w:rFonts w:ascii="Times New Roman" w:cs="Times New Roman" w:eastAsia="Times New Roman" w:hAnsi="Times New Roman"/>
          <w:b/>
          <w:bCs/>
          <w:sz w:val="20"/>
          <w:szCs w:val="20"/>
        </w:rPr>
        <w:t xml:space="preserve">D. Ranking Reversal Phenomenon</w:t>
      </w:r>
    </w:p>
    <w:p>
      <w:pPr>
        <w:spacing w:after="200" w:line="276"/>
        <w:ind w:firstLine="720"/>
        <w:jc w:val="both"/>
      </w:pPr>
      <w:r>
        <w:rPr>
          <w:rFonts w:ascii="Times New Roman" w:cs="Times New Roman" w:eastAsia="Times New Roman" w:hAnsi="Times New Roman"/>
          <w:sz w:val="20"/>
          <w:szCs w:val="20"/>
        </w:rPr>
        <w:t xml:space="preserve">A striking finding is the complete ranking reversal between zero-shot and fine-tuned performance. In zero-shot evaluation, the ranking by ROUGE-L is: (1) BioMistral-7B-DARE (0.4120), (2) Mistral-7B (0.3912), (3) OpenBioLLM-8B (0.2623). After fine-tuning, the ranking completely reverses: (1) OpenBioLLM-8B (0.6749), (2) Mistral-7B (0.6491), (3) BioMistral-7B-DARE (0.6318). The worst baseline model achieves the best fine-tuned performance, demonstrating an inverse correlation (r = -1.000) between baseline performance and improvement magnitude.</w:t>
      </w:r>
    </w:p>
    <w:p>
      <w:pPr>
        <w:spacing w:before="200" w:after="100"/>
        <w:jc w:val="center"/>
      </w:pPr>
      <w:r>
        <w:drawing>
          <wp:inline distT="0" distB="0" distL="0" distR="0">
            <wp:extent cx="5334000" cy="2095500"/>
            <wp:effectExtent t="0" r="0" b="0" l="0"/>
            <wp:docPr id="1" name="fig9" descr="Ranking reversal phenomenon: Zero-shot baseline ranking (left) is completely reversed after LoRA fine-tuning (right). OpenBioLLM-8B moves from last place to first pla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95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9. Ranking reversal phenomenon: Zero-shot baseline ranking (left) is completely reversed after LoRA fine-tuning (right). OpenBioLLM-8B moves from last place to first place.</w:t>
      </w:r>
    </w:p>
    <w:p>
      <w:pPr>
        <w:spacing w:before="200" w:after="100"/>
        <w:jc w:val="center"/>
      </w:pPr>
      <w:r>
        <w:drawing>
          <wp:inline distT="0" distB="0" distL="0" distR="0">
            <wp:extent cx="5524500" cy="2667000"/>
            <wp:effectExtent t="0" r="0" b="0" l="0"/>
            <wp:docPr id="1" name="fig10" descr="RQ8 analysis: (Left) Inverse correlation between baseline ROUGE-L and improvement percentage (r = -1.000); (Right) Model convergence showing performance spread reduces by 71% after fine-tuning (0.150 → 0.043)."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667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10. RQ8 analysis: (Left) Inverse correlation between baseline ROUGE-L and improvement percentage (r = -1.000); (Right) Model convergence showing performance spread reduces by 71% after fine-tuning (0.150 → 0.043).</w:t>
      </w:r>
    </w:p>
    <w:p>
      <w:pPr>
        <w:spacing w:before="200" w:after="100"/>
      </w:pPr>
      <w:r>
        <w:rPr>
          <w:rFonts w:ascii="Times New Roman" w:cs="Times New Roman" w:eastAsia="Times New Roman" w:hAnsi="Times New Roman"/>
          <w:b/>
          <w:bCs/>
          <w:sz w:val="20"/>
          <w:szCs w:val="20"/>
        </w:rPr>
        <w:t xml:space="preserve">E. Statistical Analysis</w:t>
      </w:r>
    </w:p>
    <w:p>
      <w:pPr>
        <w:spacing w:after="200" w:line="276"/>
        <w:ind w:firstLine="720"/>
        <w:jc w:val="both"/>
      </w:pPr>
      <w:r>
        <w:rPr>
          <w:rFonts w:ascii="Times New Roman" w:cs="Times New Roman" w:eastAsia="Times New Roman" w:hAnsi="Times New Roman"/>
          <w:sz w:val="20"/>
          <w:szCs w:val="20"/>
        </w:rPr>
        <w:t xml:space="preserve">Bootstrap confidence intervals (95%, n=10,000) confirm robust performance estimates. OpenBioLLM-8B ROUGE-L: 0.6749 [0.6705, 0.6793]; Mistral-7B: 0.6491 [0.6445, 0.6537]; BioMistral-7B-DARE: 0.6318 [0.6272, 0.6365]. Non-overlapping confidence intervals indicate significant differences between all model pairs.</w:t>
      </w:r>
    </w:p>
    <w:p>
      <w:pPr>
        <w:spacing w:after="200" w:line="276"/>
        <w:ind w:firstLine="720"/>
        <w:jc w:val="both"/>
      </w:pPr>
      <w:r>
        <w:rPr>
          <w:rFonts w:ascii="Times New Roman" w:cs="Times New Roman" w:eastAsia="Times New Roman" w:hAnsi="Times New Roman"/>
          <w:sz w:val="20"/>
          <w:szCs w:val="20"/>
        </w:rPr>
        <w:t xml:space="preserve">Pairwise bootstrap tests confirm all ROUGE-L differences are statistically significant (p &lt; 0.001). Effect sizes (Cohen's d) range from small to medium: OpenBioLLM vs Mistral d=0.475 (small), OpenBioLLM vs BioMistral d=0.793 (medium), Mistral vs BioMistral d=0.332 (small). For FK-Grade, Mistral and BioMistral are not significantly different (p=0.19), while both differ significantly from OpenBioLLM (p &lt; 0.01).</w:t>
      </w:r>
    </w:p>
    <w:p>
      <w:pPr>
        <w:spacing w:before="200" w:after="100"/>
        <w:jc w:val="center"/>
      </w:pPr>
      <w:r>
        <w:drawing>
          <wp:inline distT="0" distB="0" distL="0" distR="0">
            <wp:extent cx="5524500" cy="2476500"/>
            <wp:effectExtent t="0" r="0" b="0" l="0"/>
            <wp:docPr id="1" name="fig11" descr="Model performance with 95% bootstrap confidence intervals for ROUGE-L (left) and FK-Grade (right). Non-overlapping ROUGE-L intervals confirm significant differences between all models. FK-Grade intervals show all models near target (6.0) and ground truth (7.23)."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476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11. Model performance with 95% bootstrap confidence intervals for ROUGE-L (left) and FK-Grade (right). Non-overlapping ROUGE-L intervals confirm significant differences between all models. FK-Grade intervals show all models near target (6.0) and ground truth (7.23).</w:t>
      </w:r>
    </w:p>
    <w:p>
      <w:pPr>
        <w:spacing w:before="200" w:after="100"/>
        <w:jc w:val="center"/>
      </w:pPr>
      <w:r>
        <w:drawing>
          <wp:inline distT="0" distB="0" distL="0" distR="0">
            <wp:extent cx="4953000" cy="3048000"/>
            <wp:effectExtent t="0" r="0" b="0" l="0"/>
            <wp:docPr id="1" name="fig12" descr="ROUGE-L pairwise effect sizes (Cohen's d). OpenBioLLM vs BioMistral shows medium effect (d=0.793), while other comparisons show small effects. Dashed lines indicate effect size threshold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48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12. ROUGE-L pairwise effect sizes (Cohen's d). OpenBioLLM vs BioMistral shows medium effect (d=0.793), while other comparisons show small effects. Dashed lines indicate effect size thresholds.</w:t>
      </w:r>
    </w:p>
    <w:p>
      <w:pPr>
        <w:spacing w:before="200" w:after="100"/>
        <w:jc w:val="center"/>
      </w:pPr>
      <w:r>
        <w:drawing>
          <wp:inline distT="0" distB="0" distL="0" distR="0">
            <wp:extent cx="4572000" cy="2857500"/>
            <wp:effectExtent t="0" r="0" b="0" l="0"/>
            <wp:docPr id="1" name="fig13" descr="Statistical significance of pairwise ROUGE-L comparisons shown as -log10(p-value). All comparisons exceed the p=0.001 threshold (dashed red line), confirming highly significant differences between all model pair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13. Statistical significance of pairwise ROUGE-L comparisons shown as -log10(p-value). All comparisons exceed the p=0.001 threshold (dashed red line), confirming highly significant differences between all model pairs.</w:t>
      </w:r>
    </w:p>
    <w:p>
      <w:pPr>
        <w:spacing w:before="200" w:after="100"/>
      </w:pPr>
      <w:r>
        <w:rPr>
          <w:rFonts w:ascii="Times New Roman" w:cs="Times New Roman" w:eastAsia="Times New Roman" w:hAnsi="Times New Roman"/>
          <w:b/>
          <w:bCs/>
          <w:sz w:val="20"/>
          <w:szCs w:val="20"/>
        </w:rPr>
        <w:t xml:space="preserve">F. Readability Analysis</w:t>
      </w:r>
    </w:p>
    <w:p>
      <w:pPr>
        <w:spacing w:after="200" w:line="276"/>
        <w:ind w:firstLine="720"/>
        <w:jc w:val="both"/>
      </w:pPr>
      <w:r>
        <w:rPr>
          <w:rFonts w:ascii="Times New Roman" w:cs="Times New Roman" w:eastAsia="Times New Roman" w:hAnsi="Times New Roman"/>
          <w:sz w:val="20"/>
          <w:szCs w:val="20"/>
        </w:rPr>
        <w:t xml:space="preserve">All fine-tuned models achieve substantial readability improvement. Source documents have mean FK-Grade of 14.50 (college level). Ground truth simplifications have FK-Grade of 7.23 (7th grade). Fine-tuned models achieve: OpenBioLLM-8B 7.16, Mistral-7B 6.91, BioMistral-7B-DARE 6.95. This represents approximately 50% reduction in reading complexity (RQ11: models match or exceed ground truth readability). Mistral-7B achieves the best readability (closest to target ≤6), while OpenBioLLM-8B matches the ground truth most closely.</w:t>
      </w:r>
    </w:p>
    <w:p>
      <w:pPr>
        <w:spacing w:before="200" w:after="100"/>
        <w:jc w:val="center"/>
      </w:pPr>
      <w:r>
        <w:drawing>
          <wp:inline distT="0" distB="0" distL="0" distR="0">
            <wp:extent cx="5334000" cy="3429000"/>
            <wp:effectExtent t="0" r="0" b="0" l="0"/>
            <wp:docPr id="1" name="fig14" descr="Readability comparison showing FK-Grade across source (14.5), baseline, fine-tuned, and ground truth (7.2) conditions. All fine-tuned models achieve approximately 50% readability reduction, bringing college-level text to 7th grade leve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29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14. Readability comparison showing FK-Grade across source (14.5), baseline, fine-tuned, and ground truth (7.2) conditions. All fine-tuned models achieve approximately 50% readability reduction, bringing college-level text to 7th grade level.</w:t>
      </w:r>
    </w:p>
    <w:p>
      <w:pPr>
        <w:spacing w:before="200" w:after="100"/>
        <w:jc w:val="center"/>
      </w:pPr>
      <w:r>
        <w:drawing>
          <wp:inline distT="0" distB="0" distL="0" distR="0">
            <wp:extent cx="5143500" cy="3238500"/>
            <wp:effectExtent t="0" r="0" b="0" l="0"/>
            <wp:docPr id="1" name="fig15" descr="FK-Grade distribution by model showing boxplots with outliers. One OpenBioLLM-8B sample (idx=800) has FK=69.1 due to run-on sentences. Most predictions cluster near ground truth (7.23) and target (6.0) level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238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15. FK-Grade distribution by model showing boxplots with outliers. One OpenBioLLM-8B sample (idx=800) has FK=69.1 due to run-on sentences. Most predictions cluster near ground truth (7.23) and target (6.0) levels.</w:t>
      </w:r>
    </w:p>
    <w:p>
      <w:pPr>
        <w:spacing w:before="200" w:after="100"/>
      </w:pPr>
      <w:r>
        <w:rPr>
          <w:rFonts w:ascii="Times New Roman" w:cs="Times New Roman" w:eastAsia="Times New Roman" w:hAnsi="Times New Roman"/>
          <w:b/>
          <w:bCs/>
          <w:sz w:val="20"/>
          <w:szCs w:val="20"/>
        </w:rPr>
        <w:t xml:space="preserve">G. Model Performance Comparison</w:t>
      </w:r>
    </w:p>
    <w:p>
      <w:pPr>
        <w:spacing w:before="200" w:after="100"/>
        <w:jc w:val="center"/>
      </w:pPr>
      <w:r>
        <w:drawing>
          <wp:inline distT="0" distB="0" distL="0" distR="0">
            <wp:extent cx="4762500" cy="3238500"/>
            <wp:effectExtent t="0" r="0" b="0" l="0"/>
            <wp:docPr id="1" name="fig16" descr="Fine-tuned model performance comparison heatmap with rankings per metric. OpenBioLLM-8B ranks 1st on ROUGE-L, SARI, and BERTScore but 3rd on FK-Grade. Mistral-7B achieves best readability (1st on FK-Grad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238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16. Fine-tuned model performance comparison heatmap with rankings per metric. OpenBioLLM-8B ranks 1st on ROUGE-L, SARI, and BERTScore but 3rd on FK-Grade. Mistral-7B achieves best readability (1st on FK-Grade).</w:t>
      </w:r>
    </w:p>
    <w:p>
      <w:pPr>
        <w:spacing w:before="200" w:after="100"/>
        <w:jc w:val="center"/>
      </w:pPr>
      <w:r>
        <w:drawing>
          <wp:inline distT="0" distB="0" distL="0" distR="0">
            <wp:extent cx="4000500" cy="3619500"/>
            <wp:effectExtent t="0" r="0" b="0" l="0"/>
            <wp:docPr id="1" name="fig17" descr="Normalized performance radar chart comparing fine-tuned models across four metrics. OpenBioLLM-8B (green) shows largest area, indicating best overall performance. All models show similar profiles with slight variation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36195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17. Normalized performance radar chart comparing fine-tuned models across four metrics. OpenBioLLM-8B (green) shows largest area, indicating best overall performance. All models show similar profiles with slight variations.</w:t>
      </w:r>
    </w:p>
    <w:p>
      <w:pPr>
        <w:spacing w:before="200" w:after="100"/>
      </w:pPr>
      <w:r>
        <w:rPr>
          <w:rFonts w:ascii="Times New Roman" w:cs="Times New Roman" w:eastAsia="Times New Roman" w:hAnsi="Times New Roman"/>
          <w:b/>
          <w:bCs/>
          <w:sz w:val="20"/>
          <w:szCs w:val="20"/>
        </w:rPr>
        <w:t xml:space="preserve">H. Error Analysis</w:t>
      </w:r>
    </w:p>
    <w:p>
      <w:pPr>
        <w:spacing w:after="200" w:line="276"/>
        <w:ind w:firstLine="720"/>
        <w:jc w:val="both"/>
      </w:pPr>
      <w:r>
        <w:rPr>
          <w:rFonts w:ascii="Times New Roman" w:cs="Times New Roman" w:eastAsia="Times New Roman" w:hAnsi="Times New Roman"/>
          <w:sz w:val="20"/>
          <w:szCs w:val="20"/>
        </w:rPr>
        <w:t xml:space="preserve">Error analysis reveals that approximately 95% of samples across all models produce satisfactory simplifications with no significant errors. The most common error types are: low ROUGE-L scores (2-4% of samples), high FK-Grade (1-2%), and over-compression (1-2%). OpenBioLLM-8B achieves the best ROUGE-L distribution with the highest proportion of samples scoring above 0.5. One notable outlier in OpenBioLLM-8B (sample 800) achieved FK=69.1 due to valid vocabulary simplification but extremely long run-on sentences, representing only 0.1% of samples with minimal impact on aggregate statistics.</w:t>
      </w:r>
    </w:p>
    <w:p>
      <w:pPr>
        <w:spacing w:before="200" w:after="100"/>
        <w:jc w:val="center"/>
      </w:pPr>
      <w:r>
        <w:drawing>
          <wp:inline distT="0" distB="0" distL="0" distR="0">
            <wp:extent cx="5524500" cy="3810000"/>
            <wp:effectExtent t="0" r="0" b="0" l="0"/>
            <wp:docPr id="1" name="fig18" descr="Error analysis dashboard showing: error type distribution by model, ROUGE-L distribution histograms, FK-Grade boxplots, compression ratio distribution, quality vs readability tradeoff scatter, and pie chart of best model per sample. OpenBioLLM-8B is best for 60.7% of individual sampl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810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18. Error analysis dashboard showing: error type distribution by model, ROUGE-L distribution histograms, FK-Grade boxplots, compression ratio distribution, quality vs readability tradeoff scatter, and pie chart of best model per sample. OpenBioLLM-8B is best for 60.7% of individual samples.</w:t>
      </w:r>
    </w:p>
    <w:p>
      <w:pPr>
        <w:spacing w:before="200" w:after="100"/>
        <w:jc w:val="center"/>
      </w:pPr>
      <w:r>
        <w:drawing>
          <wp:inline distT="0" distB="0" distL="0" distR="0">
            <wp:extent cx="5524500" cy="2667000"/>
            <wp:effectExtent t="0" r="0" b="0" l="0"/>
            <wp:docPr id="1" name="fig19" descr="Word count analysis: (Left) Average word counts showing model predictions (311-317 words) closely match ground truth (332 words) while expanding from source (274 words); (Right) Compression ratio distribution showing most samples near ideal ratio of 1.0."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667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19. Word count analysis: (Left) Average word counts showing model predictions (311-317 words) closely match ground truth (332 words) while expanding from source (274 words); (Right) Compression ratio distribution showing most samples near ideal ratio of 1.0.</w:t>
      </w:r>
    </w:p>
    <w:p>
      <w:pPr>
        <w:spacing w:before="200" w:after="100"/>
        <w:jc w:val="center"/>
      </w:pPr>
      <w:r>
        <w:drawing>
          <wp:inline distT="0" distB="0" distL="0" distR="0">
            <wp:extent cx="5524500" cy="2667000"/>
            <wp:effectExtent t="0" r="0" b="0" l="0"/>
            <wp:docPr id="1" name="fig20" descr="Quality vs readability tradeoff scatter plots by model showing ROUGE-L vs FK-Grade with compression ratio as color. Green shaded regions indicate target zones (ROUGE-L &gt; 0.5, FK-Grade &lt; 10). OpenBioLLM-8B shows tightest clustering in optimal reg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667000"/>
                    </a:xfrm>
                    <a:prstGeom prst="rect">
                      <a:avLst/>
                    </a:prstGeom>
                  </pic:spPr>
                </pic:pic>
              </a:graphicData>
            </a:graphic>
          </wp:inline>
        </w:drawing>
      </w:r>
    </w:p>
    <w:p>
      <w:pPr>
        <w:spacing w:after="300"/>
        <w:jc w:val="center"/>
      </w:pPr>
      <w:r>
        <w:rPr>
          <w:rFonts w:ascii="Times New Roman" w:cs="Times New Roman" w:eastAsia="Times New Roman" w:hAnsi="Times New Roman"/>
          <w:i/>
          <w:iCs/>
          <w:sz w:val="18"/>
          <w:szCs w:val="18"/>
        </w:rPr>
        <w:t xml:space="preserve">Fig. 20. Quality vs readability tradeoff scatter plots by model showing ROUGE-L vs FK-Grade with compression ratio as color. Green shaded regions indicate target zones (ROUGE-L &gt; 0.5, FK-Grade &lt; 10). OpenBioLLM-8B shows tightest clustering in optimal region.</w:t>
      </w:r>
    </w:p>
    <w:p>
      <w:pPr>
        <w:pStyle w:val="Heading1"/>
        <w:spacing w:before="400" w:after="200"/>
        <w:jc w:val="left"/>
      </w:pPr>
      <w:r>
        <w:rPr>
          <w:rFonts w:ascii="Times New Roman" w:cs="Times New Roman" w:eastAsia="Times New Roman" w:hAnsi="Times New Roman"/>
          <w:b/>
          <w:bCs/>
          <w:sz w:val="24"/>
          <w:szCs w:val="24"/>
        </w:rPr>
        <w:t xml:space="preserve">VI. DISCUSSION</w:t>
      </w:r>
    </w:p>
    <w:p>
      <w:pPr>
        <w:spacing w:before="200" w:after="100"/>
      </w:pPr>
      <w:r>
        <w:rPr>
          <w:rFonts w:ascii="Times New Roman" w:cs="Times New Roman" w:eastAsia="Times New Roman" w:hAnsi="Times New Roman"/>
          <w:b/>
          <w:bCs/>
          <w:sz w:val="20"/>
          <w:szCs w:val="20"/>
        </w:rPr>
        <w:t xml:space="preserve">A. Ranking Reversal Phenomenon</w:t>
      </w:r>
    </w:p>
    <w:p>
      <w:pPr>
        <w:spacing w:after="200" w:line="276"/>
        <w:ind w:firstLine="720"/>
        <w:jc w:val="both"/>
      </w:pPr>
      <w:r>
        <w:rPr>
          <w:rFonts w:ascii="Times New Roman" w:cs="Times New Roman" w:eastAsia="Times New Roman" w:hAnsi="Times New Roman"/>
          <w:sz w:val="20"/>
          <w:szCs w:val="20"/>
        </w:rPr>
        <w:t xml:space="preserve">The most striking finding is the complete ranking reversal between zero-shot and fine-tuned performance. OpenBioLLM-8B, despite achieving the worst zero-shot results (ROUGE-L 0.2623), achieves the best fine-tuned performance (ROUGE-L 0.6749), representing a 157% improvement. Conversely, BioMistral-7B-DARE achieves the best zero-shot results (0.4120) but the worst fine-tuned results (0.6318), representing only 53% improvement.</w:t>
      </w:r>
    </w:p>
    <w:p>
      <w:pPr>
        <w:spacing w:after="200" w:line="276"/>
        <w:ind w:firstLine="720"/>
        <w:jc w:val="both"/>
      </w:pPr>
      <w:r>
        <w:rPr>
          <w:rFonts w:ascii="Times New Roman" w:cs="Times New Roman" w:eastAsia="Times New Roman" w:hAnsi="Times New Roman"/>
          <w:sz w:val="20"/>
          <w:szCs w:val="20"/>
        </w:rPr>
        <w:t xml:space="preserve">This inverse correlation suggests a floor effect: models with strong zero-shot capabilities have less room for improvement through fine-tuning. Alternatively, OpenBioLLM's Llama3 architecture may have higher learning capacity or better alignment with the fine-tuning objective. The practical implication is that zero-shot performance is not a reliable predictor of fine-tuned performance for this task.</w:t>
      </w:r>
    </w:p>
    <w:p>
      <w:pPr>
        <w:spacing w:before="200" w:after="100"/>
      </w:pPr>
      <w:r>
        <w:rPr>
          <w:rFonts w:ascii="Times New Roman" w:cs="Times New Roman" w:eastAsia="Times New Roman" w:hAnsi="Times New Roman"/>
          <w:b/>
          <w:bCs/>
          <w:sz w:val="20"/>
          <w:szCs w:val="20"/>
        </w:rPr>
        <w:t xml:space="preserve">B. LoRA Hyperparameter Insights</w:t>
      </w:r>
    </w:p>
    <w:p>
      <w:pPr>
        <w:spacing w:after="200" w:line="276"/>
        <w:ind w:firstLine="720"/>
        <w:jc w:val="both"/>
      </w:pPr>
      <w:r>
        <w:rPr>
          <w:rFonts w:ascii="Times New Roman" w:cs="Times New Roman" w:eastAsia="Times New Roman" w:hAnsi="Times New Roman"/>
          <w:sz w:val="20"/>
          <w:szCs w:val="20"/>
        </w:rPr>
        <w:t xml:space="preserve">Our ablation studies reveal that higher LoRA rank consistently improves performance, contradicting the original LoRA paper's finding that r=4-8 is sufficient. This discrepancy may be explained by the rsLoRA hypothesis: standard LoRA scaling (α/r) causes gradient collapse at higher ranks, masking potential benefits. Our use of rsLoRA scaling (α/√r) may enable the observed improvements at r=32.</w:t>
      </w:r>
    </w:p>
    <w:p>
      <w:pPr>
        <w:spacing w:after="200" w:line="276"/>
        <w:ind w:firstLine="720"/>
        <w:jc w:val="both"/>
      </w:pPr>
      <w:r>
        <w:rPr>
          <w:rFonts w:ascii="Times New Roman" w:cs="Times New Roman" w:eastAsia="Times New Roman" w:hAnsi="Times New Roman"/>
          <w:sz w:val="20"/>
          <w:szCs w:val="20"/>
        </w:rPr>
        <w:t xml:space="preserve">Similarly, using all attention projection layers (all_attn) outperforms more selective configurations (q_only, q_v) despite the doubled parameter count. This aligns with recent recommendations from Raschka (2023) and Unsloth, suggesting that the original LoRA configuration (Wq + Wv only) may be suboptimal. The practical implication is that practitioners should consider higher ranks and broader target modules when computational resources permit.</w:t>
      </w:r>
    </w:p>
    <w:p>
      <w:pPr>
        <w:spacing w:before="200" w:after="100"/>
      </w:pPr>
      <w:r>
        <w:rPr>
          <w:rFonts w:ascii="Times New Roman" w:cs="Times New Roman" w:eastAsia="Times New Roman" w:hAnsi="Times New Roman"/>
          <w:b/>
          <w:bCs/>
          <w:sz w:val="20"/>
          <w:szCs w:val="20"/>
        </w:rPr>
        <w:t xml:space="preserve">C. Medical Domain Considerations</w:t>
      </w:r>
    </w:p>
    <w:p>
      <w:pPr>
        <w:spacing w:after="200" w:line="276"/>
        <w:ind w:firstLine="720"/>
        <w:jc w:val="both"/>
      </w:pPr>
      <w:r>
        <w:rPr>
          <w:rFonts w:ascii="Times New Roman" w:cs="Times New Roman" w:eastAsia="Times New Roman" w:hAnsi="Times New Roman"/>
          <w:sz w:val="20"/>
          <w:szCs w:val="20"/>
        </w:rPr>
        <w:t xml:space="preserve">Medical pretraining does not provide consistent advantages for text simplification. In zero-shot evaluation, BioMistral outperforms other models, but the general-purpose Mistral-7B is competitive. After fine-tuning, the medical-domain advantage disappears entirely, with the Llama3-based OpenBioLLM achieving best results. This suggests that the specific task of simplification may not require deep medical knowledge embedded during pretraining, as long as sufficient domain-specific fine-tuning data is available.</w:t>
      </w:r>
    </w:p>
    <w:p>
      <w:pPr>
        <w:spacing w:before="200" w:after="100"/>
      </w:pPr>
      <w:r>
        <w:rPr>
          <w:rFonts w:ascii="Times New Roman" w:cs="Times New Roman" w:eastAsia="Times New Roman" w:hAnsi="Times New Roman"/>
          <w:b/>
          <w:bCs/>
          <w:sz w:val="20"/>
          <w:szCs w:val="20"/>
        </w:rPr>
        <w:t xml:space="preserve">D. Limitations</w:t>
      </w:r>
    </w:p>
    <w:p>
      <w:pPr>
        <w:spacing w:after="200" w:line="276"/>
        <w:ind w:firstLine="720"/>
        <w:jc w:val="both"/>
      </w:pPr>
      <w:r>
        <w:rPr>
          <w:rFonts w:ascii="Times New Roman" w:cs="Times New Roman" w:eastAsia="Times New Roman" w:hAnsi="Times New Roman"/>
          <w:sz w:val="20"/>
          <w:szCs w:val="20"/>
        </w:rPr>
        <w:t xml:space="preserve">Several limitations should be noted. First, we use synthetic clinical notes rather than real patient data, which may not capture all complexities of actual discharge summaries. Second, ground truth simplifications were generated by a single teacher model (Claude), potentially introducing bias. Third, automatic metrics may not fully capture clinical accuracy or patient comprehension. Fourth, we did not evaluate on external test sets or conduct human evaluation studies. Finally, our findings are specific to the 7-8B parameter scale and may not generalize to larger models.</w:t>
      </w:r>
    </w:p>
    <w:p>
      <w:pPr>
        <w:pStyle w:val="Heading1"/>
        <w:spacing w:before="400" w:after="200"/>
        <w:jc w:val="left"/>
      </w:pPr>
      <w:r>
        <w:rPr>
          <w:rFonts w:ascii="Times New Roman" w:cs="Times New Roman" w:eastAsia="Times New Roman" w:hAnsi="Times New Roman"/>
          <w:b/>
          <w:bCs/>
          <w:sz w:val="24"/>
          <w:szCs w:val="24"/>
        </w:rPr>
        <w:t xml:space="preserve">VII. CONCLUSION</w:t>
      </w:r>
    </w:p>
    <w:p>
      <w:pPr>
        <w:spacing w:after="200" w:line="276"/>
        <w:ind w:firstLine="720"/>
        <w:jc w:val="both"/>
      </w:pPr>
      <w:r>
        <w:rPr>
          <w:rFonts w:ascii="Times New Roman" w:cs="Times New Roman" w:eastAsia="Times New Roman" w:hAnsi="Times New Roman"/>
          <w:sz w:val="20"/>
          <w:szCs w:val="20"/>
        </w:rPr>
        <w:t xml:space="preserve">This paper presented MediSimplifier, a comprehensive framework for medical discharge summary simplification using LoRA fine-tuned language models. Through systematic evaluation of three models and extensive ablation studies, we demonstrate that: (1) LoRA fine-tuning achieves 53-157% improvement over zero-shot baselines; (2) Zero-shot performance inversely predicts fine-tuned performance, with the worst baseline model achieving best final results; (3) Higher LoRA ranks (r=32) and broader target modules (all_attn) consistently improve performance; (4) All fine-tuned models achieve approximately 50% readability reduction, from college level to 7th grade level; (5) Medical pretraining advantages disappear after domain-specific fine-tuning.</w:t>
      </w:r>
    </w:p>
    <w:p>
      <w:pPr>
        <w:spacing w:after="200" w:line="276"/>
        <w:ind w:firstLine="720"/>
        <w:jc w:val="both"/>
      </w:pPr>
      <w:r>
        <w:rPr>
          <w:rFonts w:ascii="Times New Roman" w:cs="Times New Roman" w:eastAsia="Times New Roman" w:hAnsi="Times New Roman"/>
          <w:sz w:val="20"/>
          <w:szCs w:val="20"/>
        </w:rPr>
        <w:t xml:space="preserve">These findings provide practical guidance for practitioners applying LoRA to medical NLP tasks: consider higher ranks than originally recommended, target all attention layers when resources permit, and do not assume medical pretraining will provide advantages after fine-tuning. Future work should validate these findings on real clinical data, conduct human evaluation of simplification quality, and explore larger model scales.</w:t>
      </w:r>
    </w:p>
    <w:p>
      <w:pPr>
        <w:pStyle w:val="Heading1"/>
        <w:spacing w:before="400" w:after="200"/>
        <w:jc w:val="left"/>
      </w:pPr>
      <w:r>
        <w:rPr>
          <w:rFonts w:ascii="Times New Roman" w:cs="Times New Roman" w:eastAsia="Times New Roman" w:hAnsi="Times New Roman"/>
          <w:b/>
          <w:bCs/>
          <w:sz w:val="24"/>
          <w:szCs w:val="24"/>
        </w:rPr>
        <w:t xml:space="preserve">REFERENCES</w:t>
      </w:r>
    </w:p>
    <w:p>
      <w:pPr>
        <w:spacing w:after="100"/>
        <w:ind w:left="360" w:hanging="360"/>
        <w:jc w:val="both"/>
      </w:pPr>
      <w:r>
        <w:rPr>
          <w:rFonts w:ascii="Times New Roman" w:cs="Times New Roman" w:eastAsia="Times New Roman" w:hAnsi="Times New Roman"/>
          <w:sz w:val="18"/>
          <w:szCs w:val="18"/>
        </w:rPr>
        <w:t xml:space="preserve">[1] E. J. Hu, Y. Shen, P. Wallis, Z. Allen-Zhu, Y. Li, S. Wang, L. Wang, and W. Chen, "LoRA: Low-Rank Adaptation of Large Language Models," arXiv preprint arXiv:2106.09685, 2021.</w:t>
      </w:r>
    </w:p>
    <w:p>
      <w:pPr>
        <w:spacing w:after="100"/>
        <w:ind w:left="360" w:hanging="360"/>
        <w:jc w:val="both"/>
      </w:pPr>
      <w:r>
        <w:rPr>
          <w:rFonts w:ascii="Times New Roman" w:cs="Times New Roman" w:eastAsia="Times New Roman" w:hAnsi="Times New Roman"/>
          <w:sz w:val="18"/>
          <w:szCs w:val="18"/>
        </w:rPr>
        <w:t xml:space="preserve">[2] D. Kalajdzievski, "Rank Stabilization for Scaling Large Language Models with LoRA," arXiv preprint arXiv:2312.03732, 2023.</w:t>
      </w:r>
    </w:p>
    <w:p>
      <w:pPr>
        <w:spacing w:after="100"/>
        <w:ind w:left="360" w:hanging="360"/>
        <w:jc w:val="both"/>
      </w:pPr>
      <w:r>
        <w:rPr>
          <w:rFonts w:ascii="Times New Roman" w:cs="Times New Roman" w:eastAsia="Times New Roman" w:hAnsi="Times New Roman"/>
          <w:sz w:val="18"/>
          <w:szCs w:val="18"/>
        </w:rPr>
        <w:t xml:space="preserve">[3] S. Raschka, "Finetuning Large Language Models," Lightning AI Blog, 2023.</w:t>
      </w:r>
    </w:p>
    <w:p>
      <w:pPr>
        <w:spacing w:after="100"/>
        <w:ind w:left="360" w:hanging="360"/>
        <w:jc w:val="both"/>
      </w:pPr>
      <w:r>
        <w:rPr>
          <w:rFonts w:ascii="Times New Roman" w:cs="Times New Roman" w:eastAsia="Times New Roman" w:hAnsi="Times New Roman"/>
          <w:sz w:val="18"/>
          <w:szCs w:val="18"/>
        </w:rPr>
        <w:t xml:space="preserve">[4] J. Lee, W. Yoon, S. Kim, D. Kim, S. Kim, C. H. So, and J. Kang, "BioBERT: a pre-trained biomedical language representation model for biomedical text mining," Bioinformatics, vol. 36, no. 4, pp. 1234-1240, 2020.</w:t>
      </w:r>
    </w:p>
    <w:p>
      <w:pPr>
        <w:spacing w:after="100"/>
        <w:ind w:left="360" w:hanging="360"/>
        <w:jc w:val="both"/>
      </w:pPr>
      <w:r>
        <w:rPr>
          <w:rFonts w:ascii="Times New Roman" w:cs="Times New Roman" w:eastAsia="Times New Roman" w:hAnsi="Times New Roman"/>
          <w:sz w:val="18"/>
          <w:szCs w:val="18"/>
        </w:rPr>
        <w:t xml:space="preserve">[5] Y. Gu, R. Tinn, H. Cheng, M. Lucas, N. Usuyama, X. Liu, T. Naumann, J. Gao, and H. Poon, "Domain-specific language model pretraining for biomedical natural language processing," ACM Transactions on Computing for Healthcare, vol. 3, no. 1, pp. 1-23, 2021.</w:t>
      </w:r>
    </w:p>
    <w:p>
      <w:pPr>
        <w:spacing w:after="100"/>
        <w:ind w:left="360" w:hanging="360"/>
        <w:jc w:val="both"/>
      </w:pPr>
      <w:r>
        <w:rPr>
          <w:rFonts w:ascii="Times New Roman" w:cs="Times New Roman" w:eastAsia="Times New Roman" w:hAnsi="Times New Roman"/>
          <w:sz w:val="18"/>
          <w:szCs w:val="18"/>
        </w:rPr>
        <w:t xml:space="preserve">[6] W. Xu, C. Callison-Burch, and C. Napoles, "Problems in Current Text Simplification Research: New Data Can Help," Transactions of the Association for Computational Linguistics, vol. 3, pp. 283-297, 2015.</w:t>
      </w:r>
    </w:p>
    <w:p>
      <w:pPr>
        <w:spacing w:after="100"/>
        <w:ind w:left="360" w:hanging="360"/>
        <w:jc w:val="both"/>
      </w:pPr>
      <w:r>
        <w:rPr>
          <w:rFonts w:ascii="Times New Roman" w:cs="Times New Roman" w:eastAsia="Times New Roman" w:hAnsi="Times New Roman"/>
          <w:sz w:val="18"/>
          <w:szCs w:val="18"/>
        </w:rPr>
        <w:t xml:space="preserve">[7] T. Zhang, V. Kishore, F. Wu, K. Q. Weinberger, and Y. Artzi, "BERTScore: Evaluating Text Generation with BERT," arXiv preprint arXiv:1904.09675, 2019.</w:t>
      </w:r>
    </w:p>
    <w:p>
      <w:pPr>
        <w:spacing w:after="100"/>
        <w:ind w:left="360" w:hanging="360"/>
        <w:jc w:val="both"/>
      </w:pPr>
      <w:r>
        <w:rPr>
          <w:rFonts w:ascii="Times New Roman" w:cs="Times New Roman" w:eastAsia="Times New Roman" w:hAnsi="Times New Roman"/>
          <w:sz w:val="18"/>
          <w:szCs w:val="18"/>
        </w:rPr>
        <w:t xml:space="preserve">[8] C.-Y. Lin, "ROUGE: A Package for Automatic Evaluation of Summaries," in Text Summarization Branches Out, 2004, pp. 74-81.</w:t>
      </w:r>
    </w:p>
    <w:p>
      <w:pPr>
        <w:spacing w:after="100"/>
        <w:ind w:left="360" w:hanging="360"/>
        <w:jc w:val="both"/>
      </w:pPr>
      <w:r>
        <w:rPr>
          <w:rFonts w:ascii="Times New Roman" w:cs="Times New Roman" w:eastAsia="Times New Roman" w:hAnsi="Times New Roman"/>
          <w:sz w:val="18"/>
          <w:szCs w:val="18"/>
        </w:rPr>
        <w:t xml:space="preserve">[9] W. Xu, C. Napoles, E. Pavlick, Q. Chen, and C. Callison-Burch, "Optimizing Statistical Machine Translation for Text Simplification," Transactions of the Association for Computational Linguistics, vol. 4, pp. 401-415, 2016.</w:t>
      </w:r>
    </w:p>
    <w:p>
      <w:pPr>
        <w:spacing w:after="100"/>
        <w:ind w:left="360" w:hanging="360"/>
        <w:jc w:val="both"/>
      </w:pPr>
      <w:r>
        <w:rPr>
          <w:rFonts w:ascii="Times New Roman" w:cs="Times New Roman" w:eastAsia="Times New Roman" w:hAnsi="Times New Roman"/>
          <w:sz w:val="18"/>
          <w:szCs w:val="18"/>
        </w:rPr>
        <w:t xml:space="preserve">[10] J. P. Kincaid, R. P. Fishburne Jr, R. L. Rogers, and B. S. Chissom, "Derivation of new readability formulas for Navy enlisted personnel," Naval Technical Training Command, Millington TN Research Branch, 1975.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MediSimplifier: Medical Text Simplification Using LoRA Fine-Tuning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ef621ffae0ddc34a4af2aad90a836d836b0186e.png"/><Relationship Id="rId9" Type="http://schemas.openxmlformats.org/officeDocument/2006/relationships/image" Target="media/c2709506b32fbcb1713678d91aee460e00f6c277.png"/><Relationship Id="rId10" Type="http://schemas.openxmlformats.org/officeDocument/2006/relationships/image" Target="media/a21d6576ddec4743a76ef1755c32dd1138677cf2.png"/><Relationship Id="rId11" Type="http://schemas.openxmlformats.org/officeDocument/2006/relationships/image" Target="media/fa3966230ff56aa32c88a1d60ff2f9f5f57e25a6.png"/><Relationship Id="rId12" Type="http://schemas.openxmlformats.org/officeDocument/2006/relationships/image" Target="media/234660da5187881e0f5f2589a54c56c50103c616.png"/><Relationship Id="rId13" Type="http://schemas.openxmlformats.org/officeDocument/2006/relationships/image" Target="media/96f3a917c2d5b0e8e33483437768470973d07e0e.png"/><Relationship Id="rId14" Type="http://schemas.openxmlformats.org/officeDocument/2006/relationships/image" Target="media/15929457541efb3c150a3b5916f8e29b1e9ebf77.png"/><Relationship Id="rId15" Type="http://schemas.openxmlformats.org/officeDocument/2006/relationships/image" Target="media/b6559873238afa65add21d0fde9a61311d9ab6d4.png"/><Relationship Id="rId16" Type="http://schemas.openxmlformats.org/officeDocument/2006/relationships/image" Target="media/f066a5487feaf436576d95f589d872370f7922a8.png"/><Relationship Id="rId17" Type="http://schemas.openxmlformats.org/officeDocument/2006/relationships/image" Target="media/0d7f7e7a73232000845dfc129804a12160d35fd4.png"/><Relationship Id="rId18" Type="http://schemas.openxmlformats.org/officeDocument/2006/relationships/image" Target="media/9a13add015fb3350c520097f83cc9c75372df04d.png"/><Relationship Id="rId19" Type="http://schemas.openxmlformats.org/officeDocument/2006/relationships/image" Target="media/897460c7af3ada30733a07bff94bb09fff5e3b2e.png"/><Relationship Id="rId20" Type="http://schemas.openxmlformats.org/officeDocument/2006/relationships/image" Target="media/3a5330c4d6d771a8110c4ff2404548cdb9c80866.png"/><Relationship Id="rId21" Type="http://schemas.openxmlformats.org/officeDocument/2006/relationships/image" Target="media/caf0eb2d0d81d53a82bc6ede853daad90f8f5d58.png"/><Relationship Id="rId22" Type="http://schemas.openxmlformats.org/officeDocument/2006/relationships/image" Target="media/8ab8e219ddd55f6bf89cc13190631ac120488072.png"/><Relationship Id="rId23" Type="http://schemas.openxmlformats.org/officeDocument/2006/relationships/image" Target="media/e385dc1d2f5034207576b83e627fbc4013e63223.png"/><Relationship Id="rId24" Type="http://schemas.openxmlformats.org/officeDocument/2006/relationships/image" Target="media/406619f8452eeb3cc2a169e9bfb24270e5c6ca09.png"/><Relationship Id="rId25" Type="http://schemas.openxmlformats.org/officeDocument/2006/relationships/image" Target="media/0cb211d3857d379a6d7d37c27b2abcb6b05be9d4.png"/><Relationship Id="rId26" Type="http://schemas.openxmlformats.org/officeDocument/2006/relationships/image" Target="media/8a8fe42b05b8f732e724126772881012fbde3703.png"/><Relationship Id="rId27" Type="http://schemas.openxmlformats.org/officeDocument/2006/relationships/image" Target="media/42d1ca0c34519d0db88447f152b5217e64892dd8.pn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2026-01-27T21:08:23.052Z</dcterms:created>
  <dcterms:modified xsi:type="dcterms:W3CDTF">2026-01-27T21:08:23.054Z</dcterms:modified>
</cp:coreProperties>
</file>

<file path=docProps/custom.xml><?xml version="1.0" encoding="utf-8"?>
<Properties xmlns="http://schemas.openxmlformats.org/officeDocument/2006/custom-properties" xmlns:vt="http://schemas.openxmlformats.org/officeDocument/2006/docPropsVTypes"/>
</file>