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before="200" w:after="40"/>
        <w:jc w:val="center"/>
      </w:pPr>
      <w:r>
        <w:rPr>
          <w:b/>
          <w:color w:val="64748B"/>
          <w:sz w:val="26"/>
        </w:rPr>
        <w:t>DESARROLLO DE APLICACIONES WEB Y MÓVILES</w:t>
      </w:r>
    </w:p>
    <w:p>
      <w:pPr>
        <w:spacing w:after="360"/>
        <w:jc w:val="center"/>
      </w:pPr>
      <w:r>
        <w:rPr>
          <w:color w:val="0EA5E9"/>
          <w:sz w:val="22"/>
        </w:rPr>
        <w:t>UNIDAD 2: APLICACIONES WEB PROGRESIVAS (PWA)</w:t>
      </w:r>
    </w:p>
    <w:p>
      <w:pPr>
        <w:spacing w:after="160"/>
        <w:jc w:val="center"/>
      </w:pPr>
      <w:r>
        <w:rPr>
          <w:b/>
          <w:color w:val="0F172A"/>
          <w:sz w:val="44"/>
        </w:rPr>
        <w:t>PRÁCTICA 2.2: PWA COMPLETA PUBLICADA</w:t>
      </w:r>
    </w:p>
    <w:p>
      <w:pPr>
        <w:spacing w:after="480"/>
        <w:jc w:val="center"/>
      </w:pPr>
      <w:r>
        <w:rPr>
          <w:i/>
          <w:color w:val="475569"/>
          <w:sz w:val="22"/>
        </w:rPr>
        <w:t>Caso de Estudio: HealthVault — Sistema Integral de Expedientes y Citas Médicas</w:t>
        <w:br/>
        <w:t>Despliegue Local Seguro con HTTPS, App Shell, Modo Offline y Notificaciones</w:t>
      </w:r>
    </w:p>
    <w:tbl>
      <w:tblPr>
        <w:tblW w:type="auto" w:w="0"/>
        <w:jc w:val="center"/>
        <w:tblLayout w:type="fixed"/>
        <w:tblLook w:firstColumn="1" w:firstRow="1" w:lastColumn="0" w:lastRow="0" w:noHBand="0" w:noVBand="1" w:val="04A0"/>
      </w:tblPr>
      <w:tblGrid>
        <w:gridCol w:w="4824"/>
        <w:gridCol w:w="4824"/>
      </w:tblGrid>
      <w:tr>
        <w:tc>
          <w:tcPr>
            <w:tcW w:type="dxa" w:w="3456"/>
            <w:shd w:fill="0F172A" w:val="clear"/>
            <w:tcMar>
              <w:top w:w="100" w:type="dxa"/>
              <w:bottom w:w="100" w:type="dxa"/>
              <w:left w:w="150" w:type="dxa"/>
              <w:right w:w="150" w:type="dxa"/>
            </w:tcMar>
          </w:tcPr>
          <w:p>
            <w:pPr>
              <w:spacing w:after="0"/>
            </w:pPr>
            <w:r>
              <w:rPr>
                <w:b/>
                <w:color w:val="F1F5F9"/>
                <w:sz w:val="18"/>
              </w:rPr>
              <w:t>Alumno / Desarrollador:</w:t>
            </w:r>
          </w:p>
        </w:tc>
        <w:tc>
          <w:tcPr>
            <w:tcW w:type="dxa" w:w="6048"/>
            <w:shd w:fill="F8FAFC" w:val="clear"/>
            <w:tcMar>
              <w:top w:w="100" w:type="dxa"/>
              <w:bottom w:w="100" w:type="dxa"/>
              <w:left w:w="150" w:type="dxa"/>
              <w:right w:w="150" w:type="dxa"/>
            </w:tcMar>
          </w:tcPr>
          <w:p>
            <w:pPr>
              <w:spacing w:after="0"/>
            </w:pPr>
            <w:r>
              <w:rPr>
                <w:color w:val="0F172A"/>
                <w:sz w:val="18"/>
              </w:rPr>
              <w:t>Angel Medina</w:t>
            </w:r>
          </w:p>
        </w:tc>
      </w:tr>
      <w:tr>
        <w:tc>
          <w:tcPr>
            <w:tcW w:type="dxa" w:w="3456"/>
            <w:shd w:fill="0F172A" w:val="clear"/>
            <w:tcMar>
              <w:top w:w="100" w:type="dxa"/>
              <w:bottom w:w="100" w:type="dxa"/>
              <w:left w:w="150" w:type="dxa"/>
              <w:right w:w="150" w:type="dxa"/>
            </w:tcMar>
          </w:tcPr>
          <w:p>
            <w:pPr>
              <w:spacing w:after="0"/>
            </w:pPr>
            <w:r>
              <w:rPr>
                <w:b/>
                <w:color w:val="F1F5F9"/>
                <w:sz w:val="18"/>
              </w:rPr>
              <w:t>Asignatura:</w:t>
            </w:r>
          </w:p>
        </w:tc>
        <w:tc>
          <w:tcPr>
            <w:tcW w:type="dxa" w:w="6048"/>
            <w:shd w:fill="FFFFFF" w:val="clear"/>
            <w:tcMar>
              <w:top w:w="100" w:type="dxa"/>
              <w:bottom w:w="100" w:type="dxa"/>
              <w:left w:w="150" w:type="dxa"/>
              <w:right w:w="150" w:type="dxa"/>
            </w:tcMar>
          </w:tcPr>
          <w:p>
            <w:pPr>
              <w:spacing w:after="0"/>
            </w:pPr>
            <w:r>
              <w:rPr>
                <w:color w:val="0F172A"/>
                <w:sz w:val="18"/>
              </w:rPr>
              <w:t>Programación Web Avanzada / PWA</w:t>
            </w:r>
          </w:p>
        </w:tc>
      </w:tr>
      <w:tr>
        <w:tc>
          <w:tcPr>
            <w:tcW w:type="dxa" w:w="3456"/>
            <w:shd w:fill="0F172A" w:val="clear"/>
            <w:tcMar>
              <w:top w:w="100" w:type="dxa"/>
              <w:bottom w:w="100" w:type="dxa"/>
              <w:left w:w="150" w:type="dxa"/>
              <w:right w:w="150" w:type="dxa"/>
            </w:tcMar>
          </w:tcPr>
          <w:p>
            <w:pPr>
              <w:spacing w:after="0"/>
            </w:pPr>
            <w:r>
              <w:rPr>
                <w:b/>
                <w:color w:val="F1F5F9"/>
                <w:sz w:val="18"/>
              </w:rPr>
              <w:t>Entorno de Publicación:</w:t>
            </w:r>
          </w:p>
        </w:tc>
        <w:tc>
          <w:tcPr>
            <w:tcW w:type="dxa" w:w="6048"/>
            <w:shd w:fill="F8FAFC" w:val="clear"/>
            <w:tcMar>
              <w:top w:w="100" w:type="dxa"/>
              <w:bottom w:w="100" w:type="dxa"/>
              <w:left w:w="150" w:type="dxa"/>
              <w:right w:w="150" w:type="dxa"/>
            </w:tcMar>
          </w:tcPr>
          <w:p>
            <w:pPr>
              <w:spacing w:after="0"/>
            </w:pPr>
            <w:r>
              <w:rPr>
                <w:color w:val="0F172A"/>
                <w:sz w:val="18"/>
              </w:rPr>
              <w:t>Hosting Local Seguro (W3C Secure Context / HTTPS)</w:t>
            </w:r>
          </w:p>
        </w:tc>
      </w:tr>
      <w:tr>
        <w:tc>
          <w:tcPr>
            <w:tcW w:type="dxa" w:w="3456"/>
            <w:shd w:fill="0F172A" w:val="clear"/>
            <w:tcMar>
              <w:top w:w="100" w:type="dxa"/>
              <w:bottom w:w="100" w:type="dxa"/>
              <w:left w:w="150" w:type="dxa"/>
              <w:right w:w="150" w:type="dxa"/>
            </w:tcMar>
          </w:tcPr>
          <w:p>
            <w:pPr>
              <w:spacing w:after="0"/>
            </w:pPr>
            <w:r>
              <w:rPr>
                <w:b/>
                <w:color w:val="F1F5F9"/>
                <w:sz w:val="18"/>
              </w:rPr>
              <w:t>URL de Aplicación Local:</w:t>
            </w:r>
          </w:p>
        </w:tc>
        <w:tc>
          <w:tcPr>
            <w:tcW w:type="dxa" w:w="6048"/>
            <w:shd w:fill="FFFFFF" w:val="clear"/>
            <w:tcMar>
              <w:top w:w="100" w:type="dxa"/>
              <w:bottom w:w="100" w:type="dxa"/>
              <w:left w:w="150" w:type="dxa"/>
              <w:right w:w="150" w:type="dxa"/>
            </w:tcMar>
          </w:tcPr>
          <w:p>
            <w:pPr>
              <w:spacing w:after="0"/>
            </w:pPr>
            <w:r>
              <w:rPr>
                <w:color w:val="0F172A"/>
                <w:sz w:val="18"/>
              </w:rPr>
              <w:t>http://127.0.0.1:5000 / https://127.0.0.1:5000</w:t>
            </w:r>
          </w:p>
        </w:tc>
      </w:tr>
      <w:tr>
        <w:tc>
          <w:tcPr>
            <w:tcW w:type="dxa" w:w="3456"/>
            <w:shd w:fill="0F172A" w:val="clear"/>
            <w:tcMar>
              <w:top w:w="100" w:type="dxa"/>
              <w:bottom w:w="100" w:type="dxa"/>
              <w:left w:w="150" w:type="dxa"/>
              <w:right w:w="150" w:type="dxa"/>
            </w:tcMar>
          </w:tcPr>
          <w:p>
            <w:pPr>
              <w:spacing w:after="0"/>
            </w:pPr>
            <w:r>
              <w:rPr>
                <w:b/>
                <w:color w:val="F1F5F9"/>
                <w:sz w:val="18"/>
              </w:rPr>
              <w:t>Repositorio GitHub:</w:t>
            </w:r>
          </w:p>
        </w:tc>
        <w:tc>
          <w:tcPr>
            <w:tcW w:type="dxa" w:w="6048"/>
            <w:shd w:fill="F8FAFC" w:val="clear"/>
            <w:tcMar>
              <w:top w:w="100" w:type="dxa"/>
              <w:bottom w:w="100" w:type="dxa"/>
              <w:left w:w="150" w:type="dxa"/>
              <w:right w:w="150" w:type="dxa"/>
            </w:tcMar>
          </w:tcPr>
          <w:p>
            <w:pPr>
              <w:spacing w:after="0"/>
            </w:pPr>
            <w:r>
              <w:rPr>
                <w:color w:val="0F172A"/>
                <w:sz w:val="18"/>
              </w:rPr>
              <w:t>https://github.com/gdan04193-pixel/SISTEMA-CLINICO-CITAS.git</w:t>
            </w:r>
          </w:p>
        </w:tc>
      </w:tr>
      <w:tr>
        <w:tc>
          <w:tcPr>
            <w:tcW w:type="dxa" w:w="3456"/>
            <w:shd w:fill="0F172A" w:val="clear"/>
            <w:tcMar>
              <w:top w:w="100" w:type="dxa"/>
              <w:bottom w:w="100" w:type="dxa"/>
              <w:left w:w="150" w:type="dxa"/>
              <w:right w:w="150" w:type="dxa"/>
            </w:tcMar>
          </w:tcPr>
          <w:p>
            <w:pPr>
              <w:spacing w:after="0"/>
            </w:pPr>
            <w:r>
              <w:rPr>
                <w:b/>
                <w:color w:val="F1F5F9"/>
                <w:sz w:val="18"/>
              </w:rPr>
              <w:t>Fecha de Validación:</w:t>
            </w:r>
          </w:p>
        </w:tc>
        <w:tc>
          <w:tcPr>
            <w:tcW w:type="dxa" w:w="6048"/>
            <w:shd w:fill="FFFFFF" w:val="clear"/>
            <w:tcMar>
              <w:top w:w="100" w:type="dxa"/>
              <w:bottom w:w="100" w:type="dxa"/>
              <w:left w:w="150" w:type="dxa"/>
              <w:right w:w="150" w:type="dxa"/>
            </w:tcMar>
          </w:tcPr>
          <w:p>
            <w:pPr>
              <w:spacing w:after="0"/>
            </w:pPr>
            <w:r>
              <w:rPr>
                <w:color w:val="0F172A"/>
                <w:sz w:val="18"/>
              </w:rPr>
              <w:t>26 de Octubre de 2026</w:t>
            </w:r>
          </w:p>
        </w:tc>
      </w:tr>
    </w:tbl>
    <w:p>
      <w:r>
        <w:br w:type="page"/>
      </w:r>
    </w:p>
    <w:p>
      <w:pPr>
        <w:pStyle w:val="Heading1"/>
        <w:spacing w:before="280" w:after="120"/>
      </w:pPr>
      <w:r>
        <w:rPr>
          <w:color w:val="0F172A"/>
        </w:rPr>
        <w:t>1. Objetivo y Alcance de la Práctica 2.2</w:t>
      </w:r>
    </w:p>
    <w:p>
      <w:pPr>
        <w:spacing w:after="120" w:line="276" w:lineRule="auto"/>
        <w:jc w:val="left"/>
      </w:pPr>
      <w:r>
        <w:rPr>
          <w:b w:val="0"/>
          <w:i w:val="0"/>
          <w:sz w:val="20"/>
        </w:rPr>
        <w:t>El objetivo principal de esta práctica consiste en integrar armónicamente todos los módulos y tecnologías desarrollados a lo largo de las sesiones anteriores en una Progressive Web App (PWA) completa, funcional y publicada localmente bajo un contexto seguro (HTTPS / Localhost Secure Origin), a partir del caso de estudio HealthVault (Sistema Seguro de Gestión Clínica y Expedientes Médicos).</w:t>
      </w:r>
    </w:p>
    <w:p>
      <w:pPr>
        <w:spacing w:after="120" w:line="276" w:lineRule="auto"/>
        <w:jc w:val="left"/>
      </w:pPr>
      <w:r>
        <w:rPr>
          <w:b w:val="0"/>
          <w:i w:val="0"/>
          <w:sz w:val="20"/>
        </w:rPr>
        <w:t>A diferencia de un desarrollo web convencional, una PWA integral exige la sincronía de componentes de cliente y servidor que garanticen: resiliencia ante pérdida total de red (Modo Offline), persistencia de datos local y remota, cumplimiento estricto de las directrices de instalabilidad de la especificación W3C (App Shell, Web App Manifest, Splash Screens), comunicación asíncrona mediante Notificaciones Push y control granular de permisos sobre el hardware del dispositivo.</w:t>
      </w:r>
    </w:p>
    <w:tbl>
      <w:tblPr>
        <w:tblW w:type="auto" w:w="0"/>
        <w:jc w:val="center"/>
        <w:tblLook w:firstColumn="1" w:firstRow="1" w:lastColumn="0" w:lastRow="0" w:noHBand="0" w:noVBand="1" w:val="04A0"/>
      </w:tblPr>
      <w:tblGrid>
        <w:gridCol w:w="9648"/>
      </w:tblGrid>
      <w:tr>
        <w:tc>
          <w:tcPr>
            <w:tcW w:type="dxa" w:w="9648"/>
            <w:shd w:fill="F0F9FF" w:val="clear"/>
            <w:tcMar>
              <w:top w:w="140" w:type="dxa"/>
              <w:bottom w:w="140" w:type="dxa"/>
              <w:left w:w="200" w:type="dxa"/>
              <w:right w:w="200" w:type="dxa"/>
            </w:tcMar>
            <w:tcBorders>
              <w:left w:val="single" w:sz="24" w:space="0" w:color="0EA5E9"/>
              <w:top w:val="none"/>
              <w:bottom w:val="none"/>
              <w:right w:val="none"/>
            </w:tcBorders>
          </w:tcPr>
          <w:p>
            <w:pPr>
              <w:spacing w:after="80"/>
            </w:pPr>
            <w:r>
              <w:rPr>
                <w:b/>
                <w:color w:val="0EA5E9"/>
                <w:sz w:val="19"/>
              </w:rPr>
              <w:t xml:space="preserve">📌 DECISIÓN DE DESPLIEGUE LOCAL: </w:t>
            </w:r>
            <w:r>
              <w:rPr>
                <w:color w:val="1E293B"/>
                <w:sz w:val="19"/>
              </w:rPr>
              <w:t>Por requerimiento del proyecto y resguardo estricto de la privacidad de la información clínica, el despliegue y validación se realizaron en entorno de Hosting Local Seguro (Localhost / HTTPS con certificados X.509 generados localmente), garantizando pleno cumplimiento de los estándares W3C sin depender de infraestructuras en la nube pública.</w:t>
            </w:r>
          </w:p>
        </w:tc>
      </w:tr>
    </w:tbl>
    <w:p>
      <w:pPr>
        <w:spacing w:after="80"/>
      </w:pPr>
    </w:p>
    <w:p>
      <w:pPr>
        <w:pStyle w:val="Heading1"/>
        <w:spacing w:before="280" w:after="120"/>
      </w:pPr>
      <w:r>
        <w:rPr>
          <w:color w:val="0F172A"/>
        </w:rPr>
        <w:t>2. Justificación de Plataformas, Herramientas y Parámetros</w:t>
      </w:r>
    </w:p>
    <w:p>
      <w:pPr>
        <w:pStyle w:val="Heading2"/>
        <w:spacing w:before="280" w:after="120"/>
      </w:pPr>
      <w:r>
        <w:rPr>
          <w:color w:val="1E293B"/>
        </w:rPr>
        <w:t>2.1 Justificación del Hosting Local vs Nube para Expedientes Clínicos</w:t>
      </w:r>
    </w:p>
    <w:p>
      <w:pPr>
        <w:spacing w:after="120" w:line="276" w:lineRule="auto"/>
        <w:jc w:val="left"/>
      </w:pPr>
      <w:r>
        <w:rPr>
          <w:b w:val="0"/>
          <w:i w:val="0"/>
          <w:sz w:val="20"/>
        </w:rPr>
        <w:t>La publicación en entorno local se justifica bajo tres fundamentos técnicos y regulatorios indispensables en el sector de la informática médica:</w:t>
      </w:r>
    </w:p>
    <w:p>
      <w:pPr>
        <w:spacing w:after="80"/>
        <w:ind w:left="340"/>
      </w:pPr>
      <w:r>
        <w:rPr>
          <w:b/>
          <w:color w:val="0EA5E9"/>
          <w:sz w:val="19"/>
        </w:rPr>
        <w:t xml:space="preserve">• Soberanía y Privacidad de Datos Clínicos (NOM-024-SSA3 / HIPAA): </w:t>
      </w:r>
      <w:r>
        <w:rPr>
          <w:color w:val="334155"/>
          <w:sz w:val="19"/>
        </w:rPr>
        <w:t>Los historiales clínicos, recetas y diagnósticos médicos constituyen datos personales altamente sensibles. Un despliegue local o en infraestructura hospitalaria interna evita la fuga de información, garantiza el control absoluto del almacenamiento y reduce vectores de ataque asociados a nubes públicas compartidas.</w:t>
      </w:r>
    </w:p>
    <w:p>
      <w:pPr>
        <w:spacing w:after="80"/>
        <w:ind w:left="340"/>
      </w:pPr>
      <w:r>
        <w:rPr>
          <w:b/>
          <w:color w:val="0EA5E9"/>
          <w:sz w:val="19"/>
        </w:rPr>
        <w:t xml:space="preserve">• Estándar W3C de 'Potentially Trustworthy Origins': </w:t>
      </w:r>
      <w:r>
        <w:rPr>
          <w:color w:val="334155"/>
          <w:sz w:val="19"/>
        </w:rPr>
        <w:t>La especificación oficial de la W3C (W3C Secure Contexts Specification) establece que http://localhost y http://127.0.0.1 son considerados 'Orígenes Potencialmente Confiables' de primer nivel. Por ende, los motores de los navegadores modernos (Chromium, Gecko, WebKit) otorgan a localhost los mismos privilegios criptográficos y capacidades que a un dominio con HTTPS público comercial, permitiendo registrar Service Workers, activar Push Notifications, manejar CacheStorage y acceder a la Cámara y GPS sin advertencias de seguridad.</w:t>
      </w:r>
    </w:p>
    <w:p>
      <w:pPr>
        <w:spacing w:after="80"/>
        <w:ind w:left="340"/>
      </w:pPr>
      <w:r>
        <w:rPr>
          <w:b/>
          <w:color w:val="0EA5E9"/>
          <w:sz w:val="19"/>
        </w:rPr>
        <w:t xml:space="preserve">• Servidor HTTPS Local Autónomo con Certificados X.509: </w:t>
      </w:r>
      <w:r>
        <w:rPr>
          <w:color w:val="334155"/>
          <w:sz w:val="19"/>
        </w:rPr>
        <w:t>Adicionalmente, se implementó en Python y la biblioteca 'cryptography' la generación de certificados X.509 v3 con clave asimétrica RSA de 2048 bits y extensión SAN (Subject Alternative Name) para localhost y 127.0.0.1. Esto permite a la aplicación servirse nativamente bajo https://127.0.0.1:5000 o mediante el contenedor Nginx en puerto 443.</w:t>
      </w:r>
    </w:p>
    <w:p>
      <w:pPr>
        <w:pStyle w:val="Heading2"/>
        <w:spacing w:before="280" w:after="120"/>
      </w:pPr>
      <w:r>
        <w:rPr>
          <w:color w:val="1E293B"/>
        </w:rPr>
        <w:t>2.2 Arquitectura y Herramientas Utilizadas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EA5E9" w:val="clear"/>
            <w:tcMar>
              <w:top w:w="100" w:type="dxa"/>
              <w:bottom w:w="100" w:type="dxa"/>
              <w:left w:w="120" w:type="dxa"/>
              <w:right w:w="120" w:type="dxa"/>
            </w:tcMar>
          </w:tcPr>
          <w:p>
            <w:pPr>
              <w:spacing w:after="0"/>
            </w:pPr>
            <w:r>
              <w:rPr>
                <w:b/>
                <w:color w:val="FFFFFF"/>
                <w:sz w:val="17"/>
              </w:rPr>
              <w:t>Herramienta / Módulo</w:t>
            </w:r>
          </w:p>
        </w:tc>
        <w:tc>
          <w:tcPr>
            <w:tcW w:type="dxa" w:w="2592"/>
            <w:shd w:fill="0EA5E9" w:val="clear"/>
            <w:tcMar>
              <w:top w:w="100" w:type="dxa"/>
              <w:bottom w:w="100" w:type="dxa"/>
              <w:left w:w="120" w:type="dxa"/>
              <w:right w:w="120" w:type="dxa"/>
            </w:tcMar>
          </w:tcPr>
          <w:p>
            <w:pPr>
              <w:spacing w:after="0"/>
            </w:pPr>
            <w:r>
              <w:rPr>
                <w:b/>
                <w:color w:val="FFFFFF"/>
                <w:sz w:val="17"/>
              </w:rPr>
              <w:t>Categoría</w:t>
            </w:r>
          </w:p>
        </w:tc>
        <w:tc>
          <w:tcPr>
            <w:tcW w:type="dxa" w:w="4320"/>
            <w:shd w:fill="0EA5E9" w:val="clear"/>
            <w:tcMar>
              <w:top w:w="100" w:type="dxa"/>
              <w:bottom w:w="100" w:type="dxa"/>
              <w:left w:w="120" w:type="dxa"/>
              <w:right w:w="120" w:type="dxa"/>
            </w:tcMar>
          </w:tcPr>
          <w:p>
            <w:pPr>
              <w:spacing w:after="0"/>
            </w:pPr>
            <w:r>
              <w:rPr>
                <w:b/>
                <w:color w:val="FFFFFF"/>
                <w:sz w:val="17"/>
              </w:rPr>
              <w:t>Rol en la PWA y Justificación</w:t>
            </w:r>
          </w:p>
        </w:tc>
      </w:tr>
      <w:tr>
        <w:tc>
          <w:tcPr>
            <w:tcW w:type="dxa" w:w="2592"/>
            <w:shd w:fill="F8FAFC" w:val="clear"/>
            <w:tcMar>
              <w:top w:w="100" w:type="dxa"/>
              <w:bottom w:w="100" w:type="dxa"/>
              <w:left w:w="120" w:type="dxa"/>
              <w:right w:w="120" w:type="dxa"/>
            </w:tcMar>
          </w:tcPr>
          <w:p>
            <w:pPr>
              <w:spacing w:after="0"/>
            </w:pPr>
            <w:r>
              <w:rPr>
                <w:b/>
                <w:color w:val="0F172A"/>
                <w:sz w:val="17"/>
              </w:rPr>
              <w:t>Flask 3.1 + Jinja2</w:t>
            </w:r>
          </w:p>
        </w:tc>
        <w:tc>
          <w:tcPr>
            <w:tcW w:type="dxa" w:w="2592"/>
            <w:shd w:fill="F8FAFC" w:val="clear"/>
            <w:tcMar>
              <w:top w:w="100" w:type="dxa"/>
              <w:bottom w:w="100" w:type="dxa"/>
              <w:left w:w="120" w:type="dxa"/>
              <w:right w:w="120" w:type="dxa"/>
            </w:tcMar>
          </w:tcPr>
          <w:p>
            <w:pPr>
              <w:spacing w:after="0"/>
            </w:pPr>
            <w:r>
              <w:rPr>
                <w:b w:val="0"/>
                <w:color w:val="0F172A"/>
                <w:sz w:val="17"/>
              </w:rPr>
              <w:t>Backend &amp; SSR</w:t>
            </w:r>
          </w:p>
        </w:tc>
        <w:tc>
          <w:tcPr>
            <w:tcW w:type="dxa" w:w="4320"/>
            <w:shd w:fill="F8FAFC" w:val="clear"/>
            <w:tcMar>
              <w:top w:w="100" w:type="dxa"/>
              <w:bottom w:w="100" w:type="dxa"/>
              <w:left w:w="120" w:type="dxa"/>
              <w:right w:w="120" w:type="dxa"/>
            </w:tcMar>
          </w:tcPr>
          <w:p>
            <w:pPr>
              <w:spacing w:after="0"/>
            </w:pPr>
            <w:r>
              <w:rPr>
                <w:b w:val="0"/>
                <w:color w:val="0F172A"/>
                <w:sz w:val="17"/>
              </w:rPr>
              <w:t>Renderizado del lado del servidor para vistas clínicas, control de sesiones seguro, inyección CSRF y enrutamiento dinámico.</w:t>
            </w:r>
          </w:p>
        </w:tc>
      </w:tr>
      <w:tr>
        <w:tc>
          <w:tcPr>
            <w:tcW w:type="dxa" w:w="2592"/>
            <w:shd w:fill="FFFFFF" w:val="clear"/>
            <w:tcMar>
              <w:top w:w="100" w:type="dxa"/>
              <w:bottom w:w="100" w:type="dxa"/>
              <w:left w:w="120" w:type="dxa"/>
              <w:right w:w="120" w:type="dxa"/>
            </w:tcMar>
          </w:tcPr>
          <w:p>
            <w:pPr>
              <w:spacing w:after="0"/>
            </w:pPr>
            <w:r>
              <w:rPr>
                <w:b/>
                <w:color w:val="0F172A"/>
                <w:sz w:val="17"/>
              </w:rPr>
              <w:t>Service Worker API</w:t>
            </w:r>
          </w:p>
        </w:tc>
        <w:tc>
          <w:tcPr>
            <w:tcW w:type="dxa" w:w="2592"/>
            <w:shd w:fill="FFFFFF" w:val="clear"/>
            <w:tcMar>
              <w:top w:w="100" w:type="dxa"/>
              <w:bottom w:w="100" w:type="dxa"/>
              <w:left w:w="120" w:type="dxa"/>
              <w:right w:w="120" w:type="dxa"/>
            </w:tcMar>
          </w:tcPr>
          <w:p>
            <w:pPr>
              <w:spacing w:after="0"/>
            </w:pPr>
            <w:r>
              <w:rPr>
                <w:b w:val="0"/>
                <w:color w:val="0F172A"/>
                <w:sz w:val="17"/>
              </w:rPr>
              <w:t>PWA Core (Cliente)</w:t>
            </w:r>
          </w:p>
        </w:tc>
        <w:tc>
          <w:tcPr>
            <w:tcW w:type="dxa" w:w="4320"/>
            <w:shd w:fill="FFFFFF" w:val="clear"/>
            <w:tcMar>
              <w:top w:w="100" w:type="dxa"/>
              <w:bottom w:w="100" w:type="dxa"/>
              <w:left w:w="120" w:type="dxa"/>
              <w:right w:w="120" w:type="dxa"/>
            </w:tcMar>
          </w:tcPr>
          <w:p>
            <w:pPr>
              <w:spacing w:after="0"/>
            </w:pPr>
            <w:r>
              <w:rPr>
                <w:b w:val="0"/>
                <w:color w:val="0F172A"/>
                <w:sz w:val="17"/>
              </w:rPr>
              <w:t>Intermediario de red para intercepción de peticiones GET, pre-caching de recursos y gestión de ciclo de vida offline.</w:t>
            </w:r>
          </w:p>
        </w:tc>
      </w:tr>
      <w:tr>
        <w:tc>
          <w:tcPr>
            <w:tcW w:type="dxa" w:w="2592"/>
            <w:shd w:fill="F8FAFC" w:val="clear"/>
            <w:tcMar>
              <w:top w:w="100" w:type="dxa"/>
              <w:bottom w:w="100" w:type="dxa"/>
              <w:left w:w="120" w:type="dxa"/>
              <w:right w:w="120" w:type="dxa"/>
            </w:tcMar>
          </w:tcPr>
          <w:p>
            <w:pPr>
              <w:spacing w:after="0"/>
            </w:pPr>
            <w:r>
              <w:rPr>
                <w:b/>
                <w:color w:val="0F172A"/>
                <w:sz w:val="17"/>
              </w:rPr>
              <w:t>Web App Manifest v2</w:t>
            </w:r>
          </w:p>
        </w:tc>
        <w:tc>
          <w:tcPr>
            <w:tcW w:type="dxa" w:w="2592"/>
            <w:shd w:fill="F8FAFC" w:val="clear"/>
            <w:tcMar>
              <w:top w:w="100" w:type="dxa"/>
              <w:bottom w:w="100" w:type="dxa"/>
              <w:left w:w="120" w:type="dxa"/>
              <w:right w:w="120" w:type="dxa"/>
            </w:tcMar>
          </w:tcPr>
          <w:p>
            <w:pPr>
              <w:spacing w:after="0"/>
            </w:pPr>
            <w:r>
              <w:rPr>
                <w:b w:val="0"/>
                <w:color w:val="0F172A"/>
                <w:sz w:val="17"/>
              </w:rPr>
              <w:t>Metadatos PWA</w:t>
            </w:r>
          </w:p>
        </w:tc>
        <w:tc>
          <w:tcPr>
            <w:tcW w:type="dxa" w:w="4320"/>
            <w:shd w:fill="F8FAFC" w:val="clear"/>
            <w:tcMar>
              <w:top w:w="100" w:type="dxa"/>
              <w:bottom w:w="100" w:type="dxa"/>
              <w:left w:w="120" w:type="dxa"/>
              <w:right w:w="120" w:type="dxa"/>
            </w:tcMar>
          </w:tcPr>
          <w:p>
            <w:pPr>
              <w:spacing w:after="0"/>
            </w:pPr>
            <w:r>
              <w:rPr>
                <w:b w:val="0"/>
                <w:color w:val="0F172A"/>
                <w:sz w:val="17"/>
              </w:rPr>
              <w:t>JSON declarativo con 8 resoluciones de iconos, modo standalone, pantalla splash, shortcuts y categorías hospitalarias.</w:t>
            </w:r>
          </w:p>
        </w:tc>
      </w:tr>
      <w:tr>
        <w:tc>
          <w:tcPr>
            <w:tcW w:type="dxa" w:w="2592"/>
            <w:shd w:fill="FFFFFF" w:val="clear"/>
            <w:tcMar>
              <w:top w:w="100" w:type="dxa"/>
              <w:bottom w:w="100" w:type="dxa"/>
              <w:left w:w="120" w:type="dxa"/>
              <w:right w:w="120" w:type="dxa"/>
            </w:tcMar>
          </w:tcPr>
          <w:p>
            <w:pPr>
              <w:spacing w:after="0"/>
            </w:pPr>
            <w:r>
              <w:rPr>
                <w:b/>
                <w:color w:val="0F172A"/>
                <w:sz w:val="17"/>
              </w:rPr>
              <w:t>Cache Storage API</w:t>
            </w:r>
          </w:p>
        </w:tc>
        <w:tc>
          <w:tcPr>
            <w:tcW w:type="dxa" w:w="2592"/>
            <w:shd w:fill="FFFFFF" w:val="clear"/>
            <w:tcMar>
              <w:top w:w="100" w:type="dxa"/>
              <w:bottom w:w="100" w:type="dxa"/>
              <w:left w:w="120" w:type="dxa"/>
              <w:right w:w="120" w:type="dxa"/>
            </w:tcMar>
          </w:tcPr>
          <w:p>
            <w:pPr>
              <w:spacing w:after="0"/>
            </w:pPr>
            <w:r>
              <w:rPr>
                <w:b w:val="0"/>
                <w:color w:val="0F172A"/>
                <w:sz w:val="17"/>
              </w:rPr>
              <w:t>Almacenamiento Local</w:t>
            </w:r>
          </w:p>
        </w:tc>
        <w:tc>
          <w:tcPr>
            <w:tcW w:type="dxa" w:w="4320"/>
            <w:shd w:fill="FFFFFF" w:val="clear"/>
            <w:tcMar>
              <w:top w:w="100" w:type="dxa"/>
              <w:bottom w:w="100" w:type="dxa"/>
              <w:left w:w="120" w:type="dxa"/>
              <w:right w:w="120" w:type="dxa"/>
            </w:tcMar>
          </w:tcPr>
          <w:p>
            <w:pPr>
              <w:spacing w:after="0"/>
            </w:pPr>
            <w:r>
              <w:rPr>
                <w:b w:val="0"/>
                <w:color w:val="0F172A"/>
                <w:sz w:val="17"/>
              </w:rPr>
              <w:t>Caché de activos estáticos y de la pantalla offline, implementando estrategias híbridas Stale-While-Revalidate y Network-First.</w:t>
            </w:r>
          </w:p>
        </w:tc>
      </w:tr>
      <w:tr>
        <w:tc>
          <w:tcPr>
            <w:tcW w:type="dxa" w:w="2592"/>
            <w:shd w:fill="F8FAFC" w:val="clear"/>
            <w:tcMar>
              <w:top w:w="100" w:type="dxa"/>
              <w:bottom w:w="100" w:type="dxa"/>
              <w:left w:w="120" w:type="dxa"/>
              <w:right w:w="120" w:type="dxa"/>
            </w:tcMar>
          </w:tcPr>
          <w:p>
            <w:pPr>
              <w:spacing w:after="0"/>
            </w:pPr>
            <w:r>
              <w:rPr>
                <w:b/>
                <w:color w:val="0F172A"/>
                <w:sz w:val="17"/>
              </w:rPr>
              <w:t>Web Push API + VAPID</w:t>
            </w:r>
          </w:p>
        </w:tc>
        <w:tc>
          <w:tcPr>
            <w:tcW w:type="dxa" w:w="2592"/>
            <w:shd w:fill="F8FAFC" w:val="clear"/>
            <w:tcMar>
              <w:top w:w="100" w:type="dxa"/>
              <w:bottom w:w="100" w:type="dxa"/>
              <w:left w:w="120" w:type="dxa"/>
              <w:right w:w="120" w:type="dxa"/>
            </w:tcMar>
          </w:tcPr>
          <w:p>
            <w:pPr>
              <w:spacing w:after="0"/>
            </w:pPr>
            <w:r>
              <w:rPr>
                <w:b w:val="0"/>
                <w:color w:val="0F172A"/>
                <w:sz w:val="17"/>
              </w:rPr>
              <w:t>Notificaciones Push</w:t>
            </w:r>
          </w:p>
        </w:tc>
        <w:tc>
          <w:tcPr>
            <w:tcW w:type="dxa" w:w="4320"/>
            <w:shd w:fill="F8FAFC" w:val="clear"/>
            <w:tcMar>
              <w:top w:w="100" w:type="dxa"/>
              <w:bottom w:w="100" w:type="dxa"/>
              <w:left w:w="120" w:type="dxa"/>
              <w:right w:w="120" w:type="dxa"/>
            </w:tcMar>
          </w:tcPr>
          <w:p>
            <w:pPr>
              <w:spacing w:after="0"/>
            </w:pPr>
            <w:r>
              <w:rPr>
                <w:b w:val="0"/>
                <w:color w:val="0F172A"/>
                <w:sz w:val="17"/>
              </w:rPr>
              <w:t>Protocolo RFC 8292 con pywebpush y claves asimétricas P-256 para comunicación bidireccional y alertas médicas urgentes.</w:t>
            </w:r>
          </w:p>
        </w:tc>
      </w:tr>
      <w:tr>
        <w:tc>
          <w:tcPr>
            <w:tcW w:type="dxa" w:w="2592"/>
            <w:shd w:fill="FFFFFF" w:val="clear"/>
            <w:tcMar>
              <w:top w:w="100" w:type="dxa"/>
              <w:bottom w:w="100" w:type="dxa"/>
              <w:left w:w="120" w:type="dxa"/>
              <w:right w:w="120" w:type="dxa"/>
            </w:tcMar>
          </w:tcPr>
          <w:p>
            <w:pPr>
              <w:spacing w:after="0"/>
            </w:pPr>
            <w:r>
              <w:rPr>
                <w:b/>
                <w:color w:val="0F172A"/>
                <w:sz w:val="17"/>
              </w:rPr>
              <w:t>MediaDevices &amp; Geo APIs</w:t>
            </w:r>
          </w:p>
        </w:tc>
        <w:tc>
          <w:tcPr>
            <w:tcW w:type="dxa" w:w="2592"/>
            <w:shd w:fill="FFFFFF" w:val="clear"/>
            <w:tcMar>
              <w:top w:w="100" w:type="dxa"/>
              <w:bottom w:w="100" w:type="dxa"/>
              <w:left w:w="120" w:type="dxa"/>
              <w:right w:w="120" w:type="dxa"/>
            </w:tcMar>
          </w:tcPr>
          <w:p>
            <w:pPr>
              <w:spacing w:after="0"/>
            </w:pPr>
            <w:r>
              <w:rPr>
                <w:b w:val="0"/>
                <w:color w:val="0F172A"/>
                <w:sz w:val="17"/>
              </w:rPr>
              <w:t>Hardware Nativo</w:t>
            </w:r>
          </w:p>
        </w:tc>
        <w:tc>
          <w:tcPr>
            <w:tcW w:type="dxa" w:w="4320"/>
            <w:shd w:fill="FFFFFF" w:val="clear"/>
            <w:tcMar>
              <w:top w:w="100" w:type="dxa"/>
              <w:bottom w:w="100" w:type="dxa"/>
              <w:left w:w="120" w:type="dxa"/>
              <w:right w:w="120" w:type="dxa"/>
            </w:tcMar>
          </w:tcPr>
          <w:p>
            <w:pPr>
              <w:spacing w:after="0"/>
            </w:pPr>
            <w:r>
              <w:rPr>
                <w:b w:val="0"/>
                <w:color w:val="0F172A"/>
                <w:sz w:val="17"/>
              </w:rPr>
              <w:t>Acceso condicionado a cámara y GPS del dispositivo para telemedicina y localización de centros médicos de urgencia.</w:t>
            </w:r>
          </w:p>
        </w:tc>
      </w:tr>
      <w:tr>
        <w:tc>
          <w:tcPr>
            <w:tcW w:type="dxa" w:w="2592"/>
            <w:shd w:fill="F8FAFC" w:val="clear"/>
            <w:tcMar>
              <w:top w:w="100" w:type="dxa"/>
              <w:bottom w:w="100" w:type="dxa"/>
              <w:left w:w="120" w:type="dxa"/>
              <w:right w:w="120" w:type="dxa"/>
            </w:tcMar>
          </w:tcPr>
          <w:p>
            <w:pPr>
              <w:spacing w:after="0"/>
            </w:pPr>
            <w:r>
              <w:rPr>
                <w:b/>
                <w:color w:val="0F172A"/>
                <w:sz w:val="17"/>
              </w:rPr>
              <w:t>Nginx + Docker Stack</w:t>
            </w:r>
          </w:p>
        </w:tc>
        <w:tc>
          <w:tcPr>
            <w:tcW w:type="dxa" w:w="2592"/>
            <w:shd w:fill="F8FAFC" w:val="clear"/>
            <w:tcMar>
              <w:top w:w="100" w:type="dxa"/>
              <w:bottom w:w="100" w:type="dxa"/>
              <w:left w:w="120" w:type="dxa"/>
              <w:right w:w="120" w:type="dxa"/>
            </w:tcMar>
          </w:tcPr>
          <w:p>
            <w:pPr>
              <w:spacing w:after="0"/>
            </w:pPr>
            <w:r>
              <w:rPr>
                <w:b w:val="0"/>
                <w:color w:val="0F172A"/>
                <w:sz w:val="17"/>
              </w:rPr>
              <w:t>Hosting de Producción</w:t>
            </w:r>
          </w:p>
        </w:tc>
        <w:tc>
          <w:tcPr>
            <w:tcW w:type="dxa" w:w="4320"/>
            <w:shd w:fill="F8FAFC" w:val="clear"/>
            <w:tcMar>
              <w:top w:w="100" w:type="dxa"/>
              <w:bottom w:w="100" w:type="dxa"/>
              <w:left w:w="120" w:type="dxa"/>
              <w:right w:w="120" w:type="dxa"/>
            </w:tcMar>
          </w:tcPr>
          <w:p>
            <w:pPr>
              <w:spacing w:after="0"/>
            </w:pPr>
            <w:r>
              <w:rPr>
                <w:b w:val="0"/>
                <w:color w:val="0F172A"/>
                <w:sz w:val="17"/>
              </w:rPr>
              <w:t>Proxy inverso local para terminación SSL (puerto 443), compresión gzip y despacho de archivos estáticos optimizado.</w:t>
            </w:r>
          </w:p>
        </w:tc>
      </w:tr>
    </w:tbl>
    <w:p>
      <w:pPr>
        <w:spacing w:after="120"/>
      </w:pPr>
    </w:p>
    <w:p>
      <w:pPr>
        <w:pStyle w:val="Heading2"/>
        <w:spacing w:before="280" w:after="120"/>
      </w:pPr>
      <w:r>
        <w:rPr>
          <w:color w:val="1E293B"/>
        </w:rPr>
        <w:t>2.3 Parámetros de Configuración del Sistema</w:t>
      </w:r>
    </w:p>
    <w:p>
      <w:pPr>
        <w:spacing w:after="120" w:line="276" w:lineRule="auto"/>
        <w:jc w:val="left"/>
      </w:pPr>
      <w:r>
        <w:rPr>
          <w:b w:val="0"/>
          <w:i w:val="0"/>
          <w:sz w:val="20"/>
        </w:rPr>
        <w:t>A continuación se detallan los parámetros clave configurados en el proyecto para garantizar su operación como PWA completa: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fill="0F172A" w:val="clear"/>
            <w:tcMar>
              <w:top w:w="80" w:type="dxa"/>
              <w:bottom w:w="80" w:type="dxa"/>
              <w:left w:w="100" w:type="dxa"/>
              <w:right w:w="100" w:type="dxa"/>
            </w:tcMar>
          </w:tcPr>
          <w:p>
            <w:pPr>
              <w:spacing w:after="0"/>
            </w:pPr>
            <w:r>
              <w:rPr>
                <w:b/>
                <w:color w:val="FFFFFF"/>
                <w:sz w:val="16"/>
              </w:rPr>
              <w:t>Parámetro</w:t>
            </w:r>
          </w:p>
        </w:tc>
        <w:tc>
          <w:tcPr>
            <w:tcW w:type="dxa" w:w="1872"/>
            <w:shd w:fill="0F172A" w:val="clear"/>
            <w:tcMar>
              <w:top w:w="80" w:type="dxa"/>
              <w:bottom w:w="80" w:type="dxa"/>
              <w:left w:w="100" w:type="dxa"/>
              <w:right w:w="100" w:type="dxa"/>
            </w:tcMar>
          </w:tcPr>
          <w:p>
            <w:pPr>
              <w:spacing w:after="0"/>
            </w:pPr>
            <w:r>
              <w:rPr>
                <w:b/>
                <w:color w:val="FFFFFF"/>
                <w:sz w:val="16"/>
              </w:rPr>
              <w:t>Ubicación</w:t>
            </w:r>
          </w:p>
        </w:tc>
        <w:tc>
          <w:tcPr>
            <w:tcW w:type="dxa" w:w="2592"/>
            <w:shd w:fill="0F172A" w:val="clear"/>
            <w:tcMar>
              <w:top w:w="80" w:type="dxa"/>
              <w:bottom w:w="80" w:type="dxa"/>
              <w:left w:w="100" w:type="dxa"/>
              <w:right w:w="100" w:type="dxa"/>
            </w:tcMar>
          </w:tcPr>
          <w:p>
            <w:pPr>
              <w:spacing w:after="0"/>
            </w:pPr>
            <w:r>
              <w:rPr>
                <w:b/>
                <w:color w:val="FFFFFF"/>
                <w:sz w:val="16"/>
              </w:rPr>
              <w:t>Valor Configurado</w:t>
            </w:r>
          </w:p>
        </w:tc>
        <w:tc>
          <w:tcPr>
            <w:tcW w:type="dxa" w:w="2736"/>
            <w:shd w:fill="0F172A" w:val="clear"/>
            <w:tcMar>
              <w:top w:w="80" w:type="dxa"/>
              <w:bottom w:w="80" w:type="dxa"/>
              <w:left w:w="100" w:type="dxa"/>
              <w:right w:w="100" w:type="dxa"/>
            </w:tcMar>
          </w:tcPr>
          <w:p>
            <w:pPr>
              <w:spacing w:after="0"/>
            </w:pPr>
            <w:r>
              <w:rPr>
                <w:b/>
                <w:color w:val="FFFFFF"/>
                <w:sz w:val="16"/>
              </w:rPr>
              <w:t>Propósito Técnico</w:t>
            </w:r>
          </w:p>
        </w:tc>
      </w:tr>
      <w:tr>
        <w:tc>
          <w:tcPr>
            <w:tcW w:type="dxa" w:w="2592"/>
            <w:shd w:fill="F8FAFC" w:val="clear"/>
            <w:tcMar>
              <w:top w:w="80" w:type="dxa"/>
              <w:bottom w:w="80" w:type="dxa"/>
              <w:left w:w="100" w:type="dxa"/>
              <w:right w:w="100" w:type="dxa"/>
            </w:tcMar>
          </w:tcPr>
          <w:p>
            <w:pPr>
              <w:spacing w:after="0"/>
            </w:pPr>
            <w:r>
              <w:rPr>
                <w:b/>
                <w:color w:val="0F172A"/>
                <w:sz w:val="16"/>
              </w:rPr>
              <w:t>CACHE_NAME</w:t>
            </w:r>
          </w:p>
        </w:tc>
        <w:tc>
          <w:tcPr>
            <w:tcW w:type="dxa" w:w="1872"/>
            <w:shd w:fill="F8FAFC" w:val="clear"/>
            <w:tcMar>
              <w:top w:w="80" w:type="dxa"/>
              <w:bottom w:w="80" w:type="dxa"/>
              <w:left w:w="100" w:type="dxa"/>
              <w:right w:w="100" w:type="dxa"/>
            </w:tcMar>
          </w:tcPr>
          <w:p>
            <w:pPr>
              <w:spacing w:after="0"/>
            </w:pPr>
            <w:r>
              <w:rPr>
                <w:b w:val="0"/>
                <w:color w:val="0F172A"/>
                <w:sz w:val="16"/>
              </w:rPr>
              <w:t>static/sw.js</w:t>
            </w:r>
          </w:p>
        </w:tc>
        <w:tc>
          <w:tcPr>
            <w:tcW w:type="dxa" w:w="2592"/>
            <w:shd w:fill="F8FAFC" w:val="clear"/>
            <w:tcMar>
              <w:top w:w="80" w:type="dxa"/>
              <w:bottom w:w="80" w:type="dxa"/>
              <w:left w:w="100" w:type="dxa"/>
              <w:right w:w="100" w:type="dxa"/>
            </w:tcMar>
          </w:tcPr>
          <w:p>
            <w:pPr>
              <w:spacing w:after="0"/>
            </w:pPr>
            <w:r>
              <w:rPr>
                <w:b w:val="0"/>
                <w:color w:val="0F172A"/>
                <w:sz w:val="16"/>
              </w:rPr>
              <w:t>'healthvault-v2.2-prod'</w:t>
            </w:r>
          </w:p>
        </w:tc>
        <w:tc>
          <w:tcPr>
            <w:tcW w:type="dxa" w:w="2736"/>
            <w:shd w:fill="F8FAFC" w:val="clear"/>
            <w:tcMar>
              <w:top w:w="80" w:type="dxa"/>
              <w:bottom w:w="80" w:type="dxa"/>
              <w:left w:w="100" w:type="dxa"/>
              <w:right w:w="100" w:type="dxa"/>
            </w:tcMar>
          </w:tcPr>
          <w:p>
            <w:pPr>
              <w:spacing w:after="0"/>
            </w:pPr>
            <w:r>
              <w:rPr>
                <w:b w:val="0"/>
                <w:color w:val="0F172A"/>
                <w:sz w:val="16"/>
              </w:rPr>
              <w:t>Identificador de versión para control de caché e invalidación de activos obsoletos.</w:t>
            </w:r>
          </w:p>
        </w:tc>
      </w:tr>
      <w:tr>
        <w:tc>
          <w:tcPr>
            <w:tcW w:type="dxa" w:w="2592"/>
            <w:shd w:fill="FFFFFF" w:val="clear"/>
            <w:tcMar>
              <w:top w:w="80" w:type="dxa"/>
              <w:bottom w:w="80" w:type="dxa"/>
              <w:left w:w="100" w:type="dxa"/>
              <w:right w:w="100" w:type="dxa"/>
            </w:tcMar>
          </w:tcPr>
          <w:p>
            <w:pPr>
              <w:spacing w:after="0"/>
            </w:pPr>
            <w:r>
              <w:rPr>
                <w:b/>
                <w:color w:val="0F172A"/>
                <w:sz w:val="16"/>
              </w:rPr>
              <w:t>Service-Worker-Allowed</w:t>
            </w:r>
          </w:p>
        </w:tc>
        <w:tc>
          <w:tcPr>
            <w:tcW w:type="dxa" w:w="1872"/>
            <w:shd w:fill="FFFFFF" w:val="clear"/>
            <w:tcMar>
              <w:top w:w="80" w:type="dxa"/>
              <w:bottom w:w="80" w:type="dxa"/>
              <w:left w:w="100" w:type="dxa"/>
              <w:right w:w="100" w:type="dxa"/>
            </w:tcMar>
          </w:tcPr>
          <w:p>
            <w:pPr>
              <w:spacing w:after="0"/>
            </w:pPr>
            <w:r>
              <w:rPr>
                <w:b w:val="0"/>
                <w:color w:val="0F172A"/>
                <w:sz w:val="16"/>
              </w:rPr>
              <w:t>app.py (@app.route('/sw.js'))</w:t>
            </w:r>
          </w:p>
        </w:tc>
        <w:tc>
          <w:tcPr>
            <w:tcW w:type="dxa" w:w="2592"/>
            <w:shd w:fill="FFFFFF" w:val="clear"/>
            <w:tcMar>
              <w:top w:w="80" w:type="dxa"/>
              <w:bottom w:w="80" w:type="dxa"/>
              <w:left w:w="100" w:type="dxa"/>
              <w:right w:w="100" w:type="dxa"/>
            </w:tcMar>
          </w:tcPr>
          <w:p>
            <w:pPr>
              <w:spacing w:after="0"/>
            </w:pPr>
            <w:r>
              <w:rPr>
                <w:b w:val="0"/>
                <w:color w:val="0F172A"/>
                <w:sz w:val="16"/>
              </w:rPr>
              <w:t>'/'</w:t>
            </w:r>
          </w:p>
        </w:tc>
        <w:tc>
          <w:tcPr>
            <w:tcW w:type="dxa" w:w="2736"/>
            <w:shd w:fill="FFFFFF" w:val="clear"/>
            <w:tcMar>
              <w:top w:w="80" w:type="dxa"/>
              <w:bottom w:w="80" w:type="dxa"/>
              <w:left w:w="100" w:type="dxa"/>
              <w:right w:w="100" w:type="dxa"/>
            </w:tcMar>
          </w:tcPr>
          <w:p>
            <w:pPr>
              <w:spacing w:after="0"/>
            </w:pPr>
            <w:r>
              <w:rPr>
                <w:b w:val="0"/>
                <w:color w:val="0F172A"/>
                <w:sz w:val="16"/>
              </w:rPr>
              <w:t>Cabecera HTTP requerida para otorgar al SW alcance global sobre todo el dominio.</w:t>
            </w:r>
          </w:p>
        </w:tc>
      </w:tr>
      <w:tr>
        <w:tc>
          <w:tcPr>
            <w:tcW w:type="dxa" w:w="2592"/>
            <w:shd w:fill="F8FAFC" w:val="clear"/>
            <w:tcMar>
              <w:top w:w="80" w:type="dxa"/>
              <w:bottom w:w="80" w:type="dxa"/>
              <w:left w:w="100" w:type="dxa"/>
              <w:right w:w="100" w:type="dxa"/>
            </w:tcMar>
          </w:tcPr>
          <w:p>
            <w:pPr>
              <w:spacing w:after="0"/>
            </w:pPr>
            <w:r>
              <w:rPr>
                <w:b/>
                <w:color w:val="0F172A"/>
                <w:sz w:val="16"/>
              </w:rPr>
              <w:t>display / display_override</w:t>
            </w:r>
          </w:p>
        </w:tc>
        <w:tc>
          <w:tcPr>
            <w:tcW w:type="dxa" w:w="1872"/>
            <w:shd w:fill="F8FAFC" w:val="clear"/>
            <w:tcMar>
              <w:top w:w="80" w:type="dxa"/>
              <w:bottom w:w="80" w:type="dxa"/>
              <w:left w:w="100" w:type="dxa"/>
              <w:right w:w="100" w:type="dxa"/>
            </w:tcMar>
          </w:tcPr>
          <w:p>
            <w:pPr>
              <w:spacing w:after="0"/>
            </w:pPr>
            <w:r>
              <w:rPr>
                <w:b w:val="0"/>
                <w:color w:val="0F172A"/>
                <w:sz w:val="16"/>
              </w:rPr>
              <w:t>manifest.json</w:t>
            </w:r>
          </w:p>
        </w:tc>
        <w:tc>
          <w:tcPr>
            <w:tcW w:type="dxa" w:w="2592"/>
            <w:shd w:fill="F8FAFC" w:val="clear"/>
            <w:tcMar>
              <w:top w:w="80" w:type="dxa"/>
              <w:bottom w:w="80" w:type="dxa"/>
              <w:left w:w="100" w:type="dxa"/>
              <w:right w:w="100" w:type="dxa"/>
            </w:tcMar>
          </w:tcPr>
          <w:p>
            <w:pPr>
              <w:spacing w:after="0"/>
            </w:pPr>
            <w:r>
              <w:rPr>
                <w:b w:val="0"/>
                <w:color w:val="0F172A"/>
                <w:sz w:val="16"/>
              </w:rPr>
              <w:t>standalone / window-controls-overlay</w:t>
            </w:r>
          </w:p>
        </w:tc>
        <w:tc>
          <w:tcPr>
            <w:tcW w:type="dxa" w:w="2736"/>
            <w:shd w:fill="F8FAFC" w:val="clear"/>
            <w:tcMar>
              <w:top w:w="80" w:type="dxa"/>
              <w:bottom w:w="80" w:type="dxa"/>
              <w:left w:w="100" w:type="dxa"/>
              <w:right w:w="100" w:type="dxa"/>
            </w:tcMar>
          </w:tcPr>
          <w:p>
            <w:pPr>
              <w:spacing w:after="0"/>
            </w:pPr>
            <w:r>
              <w:rPr>
                <w:b w:val="0"/>
                <w:color w:val="0F172A"/>
                <w:sz w:val="16"/>
              </w:rPr>
              <w:t>Elimina la barra de navegación del navegador para simular una app nativa.</w:t>
            </w:r>
          </w:p>
        </w:tc>
      </w:tr>
      <w:tr>
        <w:tc>
          <w:tcPr>
            <w:tcW w:type="dxa" w:w="2592"/>
            <w:shd w:fill="FFFFFF" w:val="clear"/>
            <w:tcMar>
              <w:top w:w="80" w:type="dxa"/>
              <w:bottom w:w="80" w:type="dxa"/>
              <w:left w:w="100" w:type="dxa"/>
              <w:right w:w="100" w:type="dxa"/>
            </w:tcMar>
          </w:tcPr>
          <w:p>
            <w:pPr>
              <w:spacing w:after="0"/>
            </w:pPr>
            <w:r>
              <w:rPr>
                <w:b/>
                <w:color w:val="0F172A"/>
                <w:sz w:val="16"/>
              </w:rPr>
              <w:t>icons (8 resoluciones)</w:t>
            </w:r>
          </w:p>
        </w:tc>
        <w:tc>
          <w:tcPr>
            <w:tcW w:type="dxa" w:w="1872"/>
            <w:shd w:fill="FFFFFF" w:val="clear"/>
            <w:tcMar>
              <w:top w:w="80" w:type="dxa"/>
              <w:bottom w:w="80" w:type="dxa"/>
              <w:left w:w="100" w:type="dxa"/>
              <w:right w:w="100" w:type="dxa"/>
            </w:tcMar>
          </w:tcPr>
          <w:p>
            <w:pPr>
              <w:spacing w:after="0"/>
            </w:pPr>
            <w:r>
              <w:rPr>
                <w:b w:val="0"/>
                <w:color w:val="0F172A"/>
                <w:sz w:val="16"/>
              </w:rPr>
              <w:t>manifest.json / static/icons</w:t>
            </w:r>
          </w:p>
        </w:tc>
        <w:tc>
          <w:tcPr>
            <w:tcW w:type="dxa" w:w="2592"/>
            <w:shd w:fill="FFFFFF" w:val="clear"/>
            <w:tcMar>
              <w:top w:w="80" w:type="dxa"/>
              <w:bottom w:w="80" w:type="dxa"/>
              <w:left w:w="100" w:type="dxa"/>
              <w:right w:w="100" w:type="dxa"/>
            </w:tcMar>
          </w:tcPr>
          <w:p>
            <w:pPr>
              <w:spacing w:after="0"/>
            </w:pPr>
            <w:r>
              <w:rPr>
                <w:b w:val="0"/>
                <w:color w:val="0F172A"/>
                <w:sz w:val="16"/>
              </w:rPr>
              <w:t>72x72 a 512x512 maskable</w:t>
            </w:r>
          </w:p>
        </w:tc>
        <w:tc>
          <w:tcPr>
            <w:tcW w:type="dxa" w:w="2736"/>
            <w:shd w:fill="FFFFFF" w:val="clear"/>
            <w:tcMar>
              <w:top w:w="80" w:type="dxa"/>
              <w:bottom w:w="80" w:type="dxa"/>
              <w:left w:w="100" w:type="dxa"/>
              <w:right w:w="100" w:type="dxa"/>
            </w:tcMar>
          </w:tcPr>
          <w:p>
            <w:pPr>
              <w:spacing w:after="0"/>
            </w:pPr>
            <w:r>
              <w:rPr>
                <w:b w:val="0"/>
                <w:color w:val="0F172A"/>
                <w:sz w:val="16"/>
              </w:rPr>
              <w:t>Iconos para pantalla de inicio, cajón de aplicaciones y pantallas splash automáticas.</w:t>
            </w:r>
          </w:p>
        </w:tc>
      </w:tr>
      <w:tr>
        <w:tc>
          <w:tcPr>
            <w:tcW w:type="dxa" w:w="2592"/>
            <w:shd w:fill="F8FAFC" w:val="clear"/>
            <w:tcMar>
              <w:top w:w="80" w:type="dxa"/>
              <w:bottom w:w="80" w:type="dxa"/>
              <w:left w:w="100" w:type="dxa"/>
              <w:right w:w="100" w:type="dxa"/>
            </w:tcMar>
          </w:tcPr>
          <w:p>
            <w:pPr>
              <w:spacing w:after="0"/>
            </w:pPr>
            <w:r>
              <w:rPr>
                <w:b/>
                <w:color w:val="0F172A"/>
                <w:sz w:val="16"/>
              </w:rPr>
              <w:t>VAPID_PUBLIC_KEY</w:t>
            </w:r>
          </w:p>
        </w:tc>
        <w:tc>
          <w:tcPr>
            <w:tcW w:type="dxa" w:w="1872"/>
            <w:shd w:fill="F8FAFC" w:val="clear"/>
            <w:tcMar>
              <w:top w:w="80" w:type="dxa"/>
              <w:bottom w:w="80" w:type="dxa"/>
              <w:left w:w="100" w:type="dxa"/>
              <w:right w:w="100" w:type="dxa"/>
            </w:tcMar>
          </w:tcPr>
          <w:p>
            <w:pPr>
              <w:spacing w:after="0"/>
            </w:pPr>
            <w:r>
              <w:rPr>
                <w:b w:val="0"/>
                <w:color w:val="0F172A"/>
                <w:sz w:val="16"/>
              </w:rPr>
              <w:t>.env / app.py</w:t>
            </w:r>
          </w:p>
        </w:tc>
        <w:tc>
          <w:tcPr>
            <w:tcW w:type="dxa" w:w="2592"/>
            <w:shd w:fill="F8FAFC" w:val="clear"/>
            <w:tcMar>
              <w:top w:w="80" w:type="dxa"/>
              <w:bottom w:w="80" w:type="dxa"/>
              <w:left w:w="100" w:type="dxa"/>
              <w:right w:w="100" w:type="dxa"/>
            </w:tcMar>
          </w:tcPr>
          <w:p>
            <w:pPr>
              <w:spacing w:after="0"/>
            </w:pPr>
            <w:r>
              <w:rPr>
                <w:b w:val="0"/>
                <w:color w:val="0F172A"/>
                <w:sz w:val="16"/>
              </w:rPr>
              <w:t>Clave Base64URL P-256</w:t>
            </w:r>
          </w:p>
        </w:tc>
        <w:tc>
          <w:tcPr>
            <w:tcW w:type="dxa" w:w="2736"/>
            <w:shd w:fill="F8FAFC" w:val="clear"/>
            <w:tcMar>
              <w:top w:w="80" w:type="dxa"/>
              <w:bottom w:w="80" w:type="dxa"/>
              <w:left w:w="100" w:type="dxa"/>
              <w:right w:w="100" w:type="dxa"/>
            </w:tcMar>
          </w:tcPr>
          <w:p>
            <w:pPr>
              <w:spacing w:after="0"/>
            </w:pPr>
            <w:r>
              <w:rPr>
                <w:b w:val="0"/>
                <w:color w:val="0F172A"/>
                <w:sz w:val="16"/>
              </w:rPr>
              <w:t>Identificación criptográfica del servidor push ante el servicio de mensajería del navegador.</w:t>
            </w:r>
          </w:p>
        </w:tc>
      </w:tr>
      <w:tr>
        <w:tc>
          <w:tcPr>
            <w:tcW w:type="dxa" w:w="2592"/>
            <w:shd w:fill="FFFFFF" w:val="clear"/>
            <w:tcMar>
              <w:top w:w="80" w:type="dxa"/>
              <w:bottom w:w="80" w:type="dxa"/>
              <w:left w:w="100" w:type="dxa"/>
              <w:right w:w="100" w:type="dxa"/>
            </w:tcMar>
          </w:tcPr>
          <w:p>
            <w:pPr>
              <w:spacing w:after="0"/>
            </w:pPr>
            <w:r>
              <w:rPr>
                <w:b/>
                <w:color w:val="0F172A"/>
                <w:sz w:val="16"/>
              </w:rPr>
              <w:t>USE_HTTPS</w:t>
            </w:r>
          </w:p>
        </w:tc>
        <w:tc>
          <w:tcPr>
            <w:tcW w:type="dxa" w:w="1872"/>
            <w:shd w:fill="FFFFFF" w:val="clear"/>
            <w:tcMar>
              <w:top w:w="80" w:type="dxa"/>
              <w:bottom w:w="80" w:type="dxa"/>
              <w:left w:w="100" w:type="dxa"/>
              <w:right w:w="100" w:type="dxa"/>
            </w:tcMar>
          </w:tcPr>
          <w:p>
            <w:pPr>
              <w:spacing w:after="0"/>
            </w:pPr>
            <w:r>
              <w:rPr>
                <w:b w:val="0"/>
                <w:color w:val="0F172A"/>
                <w:sz w:val="16"/>
              </w:rPr>
              <w:t>.env / app.py</w:t>
            </w:r>
          </w:p>
        </w:tc>
        <w:tc>
          <w:tcPr>
            <w:tcW w:type="dxa" w:w="2592"/>
            <w:shd w:fill="FFFFFF" w:val="clear"/>
            <w:tcMar>
              <w:top w:w="80" w:type="dxa"/>
              <w:bottom w:w="80" w:type="dxa"/>
              <w:left w:w="100" w:type="dxa"/>
              <w:right w:w="100" w:type="dxa"/>
            </w:tcMar>
          </w:tcPr>
          <w:p>
            <w:pPr>
              <w:spacing w:after="0"/>
            </w:pPr>
            <w:r>
              <w:rPr>
                <w:b w:val="0"/>
                <w:color w:val="0F172A"/>
                <w:sz w:val="16"/>
              </w:rPr>
              <w:t>false (Dev) / true (SSL)</w:t>
            </w:r>
          </w:p>
        </w:tc>
        <w:tc>
          <w:tcPr>
            <w:tcW w:type="dxa" w:w="2736"/>
            <w:shd w:fill="FFFFFF" w:val="clear"/>
            <w:tcMar>
              <w:top w:w="80" w:type="dxa"/>
              <w:bottom w:w="80" w:type="dxa"/>
              <w:left w:w="100" w:type="dxa"/>
              <w:right w:w="100" w:type="dxa"/>
            </w:tcMar>
          </w:tcPr>
          <w:p>
            <w:pPr>
              <w:spacing w:after="0"/>
            </w:pPr>
            <w:r>
              <w:rPr>
                <w:b w:val="0"/>
                <w:color w:val="0F172A"/>
                <w:sz w:val="16"/>
              </w:rPr>
              <w:t>Habilita el arranque con certificado SSL x509 local en puerto 5000.</w:t>
            </w:r>
          </w:p>
        </w:tc>
      </w:tr>
    </w:tbl>
    <w:p>
      <w:r>
        <w:br w:type="page"/>
      </w:r>
    </w:p>
    <w:p>
      <w:pPr>
        <w:pStyle w:val="Heading1"/>
        <w:spacing w:before="280" w:after="120"/>
      </w:pPr>
      <w:r>
        <w:rPr>
          <w:color w:val="0F172A"/>
        </w:rPr>
        <w:t>3. Procedimiento de Integración de Componentes</w:t>
      </w:r>
    </w:p>
    <w:p>
      <w:pPr>
        <w:pStyle w:val="Heading2"/>
        <w:spacing w:before="280" w:after="120"/>
      </w:pPr>
      <w:r>
        <w:rPr>
          <w:color w:val="1E293B"/>
        </w:rPr>
        <w:t>3.1 App Shell y Experiencia de Usuario</w:t>
      </w:r>
    </w:p>
    <w:p>
      <w:pPr>
        <w:spacing w:after="120" w:line="276" w:lineRule="auto"/>
        <w:jc w:val="left"/>
      </w:pPr>
      <w:r>
        <w:rPr>
          <w:b w:val="0"/>
          <w:i w:val="0"/>
          <w:sz w:val="20"/>
        </w:rPr>
        <w:t>El concepto de App Shell (Arquitectura de Cascarón de Aplicación) separa la interfaz de usuario mínima requerida para navegar del contenido dinámico. En HealthVault, el App Shell se implementó en 'templates/base.html' e integra:</w:t>
      </w:r>
    </w:p>
    <w:p>
      <w:pPr>
        <w:spacing w:after="60"/>
        <w:ind w:left="340"/>
      </w:pPr>
      <w:r>
        <w:rPr>
          <w:b/>
          <w:color w:val="0EA5E9"/>
          <w:sz w:val="19"/>
        </w:rPr>
        <w:t xml:space="preserve">• Barra de Navegación Persistente: </w:t>
      </w:r>
      <w:r>
        <w:rPr>
          <w:sz w:val="19"/>
        </w:rPr>
        <w:t>Navegación unificada con acceso a Expedientes, Nuevo Registro, Papelera, Consola PWA y Menú Administrativo.</w:t>
      </w:r>
    </w:p>
    <w:p>
      <w:pPr>
        <w:spacing w:after="60"/>
        <w:ind w:left="340"/>
      </w:pPr>
      <w:r>
        <w:rPr>
          <w:b/>
          <w:color w:val="0EA5E9"/>
          <w:sz w:val="19"/>
        </w:rPr>
        <w:t xml:space="preserve">• Banner Reactivo Offline (#pwa-offline-banner): </w:t>
      </w:r>
      <w:r>
        <w:rPr>
          <w:sz w:val="19"/>
        </w:rPr>
        <w:t>Barra superior que se activa en milisegundos mediante eventos window.addEventListener('offline') informando al médico que está visualizando datos locales en caché.</w:t>
      </w:r>
    </w:p>
    <w:p>
      <w:pPr>
        <w:spacing w:after="60"/>
        <w:ind w:left="340"/>
      </w:pPr>
      <w:r>
        <w:rPr>
          <w:b/>
          <w:color w:val="0EA5E9"/>
          <w:sz w:val="19"/>
        </w:rPr>
        <w:t xml:space="preserve">• Banner de Instalación PWA (#pwa-install-banner): </w:t>
      </w:r>
      <w:r>
        <w:rPr>
          <w:sz w:val="19"/>
        </w:rPr>
        <w:t>Componente emergente que intercepta el evento 'beforeinstallprompt' de Chromium y ofrece un botón de instalación con llamada a deferredPrompt.prompt().</w:t>
      </w:r>
    </w:p>
    <w:p>
      <w:pPr>
        <w:spacing w:after="60"/>
        <w:ind w:left="340"/>
      </w:pPr>
      <w:r>
        <w:rPr>
          <w:b/>
          <w:color w:val="0EA5E9"/>
          <w:sz w:val="19"/>
        </w:rPr>
        <w:t xml:space="preserve">• Contenedor Principal y Footer con Área Hospitalaria: </w:t>
      </w:r>
      <w:r>
        <w:rPr>
          <w:sz w:val="19"/>
        </w:rPr>
        <w:t>Estructura semántica HTML5 con roles de usuario y sector asignado (Clínica, Farmacia, Laboratorio).</w:t>
      </w:r>
    </w:p>
    <w:p>
      <w:pPr>
        <w:spacing w:before="160" w:after="40"/>
      </w:pPr>
      <w:r>
        <w:rPr>
          <w:b/>
          <w:color w:val="0EA5E9"/>
          <w:sz w:val="18"/>
        </w:rPr>
        <w:t>💻 App Shell — Manejo de Instalación PWA</w:t>
      </w:r>
    </w:p>
    <w:p>
      <w:pPr>
        <w:spacing w:after="120" w:line="252" w:lineRule="auto"/>
        <w:ind w:left="283"/>
        <w:shd w:fill="0F172A" w:val="clear"/>
      </w:pPr>
      <w:r>
        <w:rPr>
          <w:rFonts w:ascii="Courier New" w:hAnsi="Courier New"/>
          <w:color w:val="22C55E"/>
          <w:sz w:val="16"/>
        </w:rPr>
        <w:t>// Intercepción del evento de instalación en el App Shell (templates/base.html)</w:t>
        <w:br/>
        <w:t>let pwaInstallPrompt = null;</w:t>
        <w:br/>
        <w:t>window.addEventListener('beforeinstallprompt', (e) =&gt; {</w:t>
        <w:br/>
        <w:t xml:space="preserve">  e.preventDefault();</w:t>
        <w:br/>
        <w:t xml:space="preserve">  pwaInstallPrompt = e;</w:t>
        <w:br/>
        <w:t xml:space="preserve">  const banner = document.getElementById('pwa-install-banner');</w:t>
        <w:br/>
        <w:t xml:space="preserve">  if (banner &amp;&amp; !sessionStorage.getItem('pwa_prompt_dismissed')) {</w:t>
        <w:br/>
        <w:t xml:space="preserve">    banner.classList.remove('hidden');</w:t>
        <w:br/>
        <w:t xml:space="preserve">  }</w:t>
        <w:br/>
        <w:t>});</w:t>
        <w:br/>
        <w:br/>
        <w:t>document.getElementById('btn-pwa-install')?.addEventListener('click', async () =&gt; {</w:t>
        <w:br/>
        <w:t xml:space="preserve">  if (!pwaInstallPrompt) return;</w:t>
        <w:br/>
        <w:t xml:space="preserve">  pwaInstallPrompt.prompt();</w:t>
        <w:br/>
        <w:t xml:space="preserve">  const choice = await pwaInstallPrompt.userChoice;</w:t>
        <w:br/>
        <w:t xml:space="preserve">  console.log('[PWA] Instalación:', choice.outcome);</w:t>
        <w:br/>
        <w:t xml:space="preserve">  pwaInstallPrompt = null;</w:t>
        <w:br/>
        <w:t>});</w:t>
      </w:r>
    </w:p>
    <w:p>
      <w:pPr>
        <w:pStyle w:val="Heading2"/>
        <w:spacing w:before="280" w:after="120"/>
      </w:pPr>
      <w:r>
        <w:rPr>
          <w:color w:val="1E293B"/>
        </w:rPr>
        <w:t>3.2 Manifiesto Web y Pantallas Splash / Home</w:t>
      </w:r>
    </w:p>
    <w:p>
      <w:pPr>
        <w:spacing w:after="120" w:line="276" w:lineRule="auto"/>
        <w:jc w:val="left"/>
      </w:pPr>
      <w:r>
        <w:rPr>
          <w:b w:val="0"/>
          <w:i w:val="0"/>
          <w:sz w:val="20"/>
        </w:rPr>
        <w:t>El archivo 'manifest.json' (servido directamente desde la ruta /manifest.json con cabecera application/manifest+json) provee al sistema operativo los metadatos de instalación. Se configuraron 8 variantes de iconos generadas automáticamente con Pillow a partir del imagotipo médico institucional:</w:t>
      </w:r>
    </w:p>
    <w:p>
      <w:pPr>
        <w:spacing w:before="160" w:after="40"/>
      </w:pPr>
      <w:r>
        <w:rPr>
          <w:b/>
          <w:color w:val="0EA5E9"/>
          <w:sz w:val="18"/>
        </w:rPr>
        <w:t>💻 Web App Manifest — Metadatos e Iconografía</w:t>
      </w:r>
    </w:p>
    <w:p>
      <w:pPr>
        <w:spacing w:after="120" w:line="252" w:lineRule="auto"/>
        <w:ind w:left="283"/>
        <w:shd w:fill="0F172A" w:val="clear"/>
      </w:pPr>
      <w:r>
        <w:rPr>
          <w:rFonts w:ascii="Courier New" w:hAnsi="Courier New"/>
          <w:color w:val="22C55E"/>
          <w:sz w:val="16"/>
        </w:rPr>
        <w:t>// Fragmento de /manifest.json generado dinámicamente</w:t>
        <w:br/>
        <w:t>{</w:t>
        <w:br/>
        <w:t xml:space="preserve">  "id": "/?source=pwa",</w:t>
        <w:br/>
        <w:t xml:space="preserve">  "name": "HealthVault – Sistema Clínico de Expedientes Médicos",</w:t>
        <w:br/>
        <w:t xml:space="preserve">  "short_name": "HealthVault",</w:t>
        <w:br/>
        <w:t xml:space="preserve">  "start_url": "/dashboard",</w:t>
        <w:br/>
        <w:t xml:space="preserve">  "scope": "/",</w:t>
        <w:br/>
        <w:t xml:space="preserve">  "display": "standalone",</w:t>
        <w:br/>
        <w:t xml:space="preserve">  "background_color": "#0f172a",</w:t>
        <w:br/>
        <w:t xml:space="preserve">  "theme_color": "#0ea5e9",</w:t>
        <w:br/>
        <w:t xml:space="preserve">  "icons": [</w:t>
        <w:br/>
        <w:t xml:space="preserve">    { "src": "/static/icons/icon-72x72.png", "sizes": "72x72", "type": "image/png" },</w:t>
        <w:br/>
        <w:t xml:space="preserve">    { "src": "/static/icons/icon-96x96.png", "sizes": "96x96", "type": "image/png" },</w:t>
        <w:br/>
        <w:t xml:space="preserve">    { "src": "/static/icons/icon-128x128.png", "sizes": "128x128", "type": "image/png" },</w:t>
        <w:br/>
        <w:t xml:space="preserve">    { "src": "/static/icons/icon-144x144.png", "sizes": "144x144", "type": "image/png" },</w:t>
        <w:br/>
        <w:t xml:space="preserve">    { "src": "/static/icons/icon-152x152.png", "sizes": "152x152", "type": "image/png" },</w:t>
        <w:br/>
        <w:t xml:space="preserve">    { "src": "/static/icons/icon-192x192.png", "sizes": "192x192", "type": "image/png", "purpose": "any maskable" },</w:t>
        <w:br/>
        <w:t xml:space="preserve">    { "src": "/static/icons/icon-384x384.png", "sizes": "384x384", "type": "image/png" },</w:t>
        <w:br/>
        <w:t xml:space="preserve">    { "src": "/static/icons/icon-512x512.png", "sizes": "512x512", "type": "image/png", "purpose": "any maskable" }</w:t>
        <w:br/>
        <w:t xml:space="preserve">  ],</w:t>
        <w:br/>
        <w:t xml:space="preserve">  "shortcuts": [</w:t>
        <w:br/>
        <w:t xml:space="preserve">    { "name": "Expedientes", "url": "/dashboard" },</w:t>
        <w:br/>
        <w:t xml:space="preserve">    { "name": "Consola PWA", "url": "/pwa-features" }</w:t>
        <w:br/>
        <w:t xml:space="preserve">  ]</w:t>
        <w:br/>
        <w:t>}</w:t>
      </w:r>
    </w:p>
    <w:p>
      <w:pPr>
        <w:pStyle w:val="Heading2"/>
        <w:spacing w:before="280" w:after="120"/>
      </w:pPr>
      <w:r>
        <w:rPr>
          <w:color w:val="1E293B"/>
        </w:rPr>
        <w:t>3.3 Vistas SSR vs CSR (Comparativa Técnica)</w:t>
      </w:r>
    </w:p>
    <w:p>
      <w:pPr>
        <w:spacing w:after="120" w:line="276" w:lineRule="auto"/>
        <w:jc w:val="left"/>
      </w:pPr>
      <w:r>
        <w:rPr>
          <w:b w:val="0"/>
          <w:i w:val="0"/>
          <w:sz w:val="20"/>
        </w:rPr>
        <w:t>HealthVault implementa una arquitectura híbrida equilibrada, combinando Server-Side Rendering (SSR) para robustez y seguridad con Client-Side Rendering (CSR) para interactividad nativa y reactividad en tiempo real:</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EA5E9" w:val="clear"/>
            <w:tcMar>
              <w:top w:w="90" w:type="dxa"/>
              <w:bottom w:w="90" w:type="dxa"/>
              <w:left w:w="120" w:type="dxa"/>
              <w:right w:w="120" w:type="dxa"/>
            </w:tcMar>
          </w:tcPr>
          <w:p>
            <w:pPr>
              <w:spacing w:after="0"/>
            </w:pPr>
            <w:r>
              <w:rPr>
                <w:b/>
                <w:color w:val="FFFFFF"/>
                <w:sz w:val="17"/>
              </w:rPr>
              <w:t>Criterio</w:t>
            </w:r>
          </w:p>
        </w:tc>
        <w:tc>
          <w:tcPr>
            <w:tcW w:type="dxa" w:w="3744"/>
            <w:shd w:fill="0EA5E9" w:val="clear"/>
            <w:tcMar>
              <w:top w:w="90" w:type="dxa"/>
              <w:bottom w:w="90" w:type="dxa"/>
              <w:left w:w="120" w:type="dxa"/>
              <w:right w:w="120" w:type="dxa"/>
            </w:tcMar>
          </w:tcPr>
          <w:p>
            <w:pPr>
              <w:spacing w:after="0"/>
            </w:pPr>
            <w:r>
              <w:rPr>
                <w:b/>
                <w:color w:val="FFFFFF"/>
                <w:sz w:val="17"/>
              </w:rPr>
              <w:t>Server-Side Rendering (SSR)</w:t>
            </w:r>
          </w:p>
        </w:tc>
        <w:tc>
          <w:tcPr>
            <w:tcW w:type="dxa" w:w="3744"/>
            <w:shd w:fill="0EA5E9" w:val="clear"/>
            <w:tcMar>
              <w:top w:w="90" w:type="dxa"/>
              <w:bottom w:w="90" w:type="dxa"/>
              <w:left w:w="120" w:type="dxa"/>
              <w:right w:w="120" w:type="dxa"/>
            </w:tcMar>
          </w:tcPr>
          <w:p>
            <w:pPr>
              <w:spacing w:after="0"/>
            </w:pPr>
            <w:r>
              <w:rPr>
                <w:b/>
                <w:color w:val="FFFFFF"/>
                <w:sz w:val="17"/>
              </w:rPr>
              <w:t>Client-Side Rendering (CSR)</w:t>
            </w:r>
          </w:p>
        </w:tc>
      </w:tr>
      <w:tr>
        <w:tc>
          <w:tcPr>
            <w:tcW w:type="dxa" w:w="2592"/>
            <w:shd w:fill="F8FAFC" w:val="clear"/>
            <w:tcMar>
              <w:top w:w="90" w:type="dxa"/>
              <w:bottom w:w="90" w:type="dxa"/>
              <w:left w:w="120" w:type="dxa"/>
              <w:right w:w="120" w:type="dxa"/>
            </w:tcMar>
          </w:tcPr>
          <w:p>
            <w:pPr>
              <w:spacing w:after="0"/>
            </w:pPr>
            <w:r>
              <w:rPr>
                <w:b/>
                <w:color w:val="0F172A"/>
                <w:sz w:val="17"/>
              </w:rPr>
              <w:t>Módulos de la App</w:t>
            </w:r>
          </w:p>
        </w:tc>
        <w:tc>
          <w:tcPr>
            <w:tcW w:type="dxa" w:w="3744"/>
            <w:shd w:fill="F8FAFC" w:val="clear"/>
            <w:tcMar>
              <w:top w:w="90" w:type="dxa"/>
              <w:bottom w:w="90" w:type="dxa"/>
              <w:left w:w="120" w:type="dxa"/>
              <w:right w:w="120" w:type="dxa"/>
            </w:tcMar>
          </w:tcPr>
          <w:p>
            <w:pPr>
              <w:spacing w:after="0"/>
            </w:pPr>
            <w:r>
              <w:rPr>
                <w:b w:val="0"/>
                <w:color w:val="0F172A"/>
                <w:sz w:val="17"/>
              </w:rPr>
              <w:t>/dashboard, /login, /upload, /admin/users</w:t>
            </w:r>
          </w:p>
        </w:tc>
        <w:tc>
          <w:tcPr>
            <w:tcW w:type="dxa" w:w="3744"/>
            <w:shd w:fill="F8FAFC" w:val="clear"/>
            <w:tcMar>
              <w:top w:w="90" w:type="dxa"/>
              <w:bottom w:w="90" w:type="dxa"/>
              <w:left w:w="120" w:type="dxa"/>
              <w:right w:w="120" w:type="dxa"/>
            </w:tcMar>
          </w:tcPr>
          <w:p>
            <w:pPr>
              <w:spacing w:after="0"/>
            </w:pPr>
            <w:r>
              <w:rPr>
                <w:b w:val="0"/>
                <w:color w:val="0F172A"/>
                <w:sz w:val="17"/>
              </w:rPr>
              <w:t>/pwa-features (Consola PWA, Permisos, Cámara, GPS)</w:t>
            </w:r>
          </w:p>
        </w:tc>
      </w:tr>
      <w:tr>
        <w:tc>
          <w:tcPr>
            <w:tcW w:type="dxa" w:w="2592"/>
            <w:shd w:fill="FFFFFF" w:val="clear"/>
            <w:tcMar>
              <w:top w:w="90" w:type="dxa"/>
              <w:bottom w:w="90" w:type="dxa"/>
              <w:left w:w="120" w:type="dxa"/>
              <w:right w:w="120" w:type="dxa"/>
            </w:tcMar>
          </w:tcPr>
          <w:p>
            <w:pPr>
              <w:spacing w:after="0"/>
            </w:pPr>
            <w:r>
              <w:rPr>
                <w:b/>
                <w:color w:val="0F172A"/>
                <w:sz w:val="17"/>
              </w:rPr>
              <w:t>Motor de Renderizado</w:t>
            </w:r>
          </w:p>
        </w:tc>
        <w:tc>
          <w:tcPr>
            <w:tcW w:type="dxa" w:w="3744"/>
            <w:shd w:fill="FFFFFF" w:val="clear"/>
            <w:tcMar>
              <w:top w:w="90" w:type="dxa"/>
              <w:bottom w:w="90" w:type="dxa"/>
              <w:left w:w="120" w:type="dxa"/>
              <w:right w:w="120" w:type="dxa"/>
            </w:tcMar>
          </w:tcPr>
          <w:p>
            <w:pPr>
              <w:spacing w:after="0"/>
            </w:pPr>
            <w:r>
              <w:rPr>
                <w:b w:val="0"/>
                <w:color w:val="0F172A"/>
                <w:sz w:val="17"/>
              </w:rPr>
              <w:t>Flask + Jinja2 Templates en Servidor</w:t>
            </w:r>
          </w:p>
        </w:tc>
        <w:tc>
          <w:tcPr>
            <w:tcW w:type="dxa" w:w="3744"/>
            <w:shd w:fill="FFFFFF" w:val="clear"/>
            <w:tcMar>
              <w:top w:w="90" w:type="dxa"/>
              <w:bottom w:w="90" w:type="dxa"/>
              <w:left w:w="120" w:type="dxa"/>
              <w:right w:w="120" w:type="dxa"/>
            </w:tcMar>
          </w:tcPr>
          <w:p>
            <w:pPr>
              <w:spacing w:after="0"/>
            </w:pPr>
            <w:r>
              <w:rPr>
                <w:b w:val="0"/>
                <w:color w:val="0F172A"/>
                <w:sz w:val="17"/>
              </w:rPr>
              <w:t>JavaScript ES6 + DOM API en el Navegador</w:t>
            </w:r>
          </w:p>
        </w:tc>
      </w:tr>
      <w:tr>
        <w:tc>
          <w:tcPr>
            <w:tcW w:type="dxa" w:w="2592"/>
            <w:shd w:fill="F8FAFC" w:val="clear"/>
            <w:tcMar>
              <w:top w:w="90" w:type="dxa"/>
              <w:bottom w:w="90" w:type="dxa"/>
              <w:left w:w="120" w:type="dxa"/>
              <w:right w:w="120" w:type="dxa"/>
            </w:tcMar>
          </w:tcPr>
          <w:p>
            <w:pPr>
              <w:spacing w:after="0"/>
            </w:pPr>
            <w:r>
              <w:rPr>
                <w:b/>
                <w:color w:val="0F172A"/>
                <w:sz w:val="17"/>
              </w:rPr>
              <w:t>Control de Seguridad</w:t>
            </w:r>
          </w:p>
        </w:tc>
        <w:tc>
          <w:tcPr>
            <w:tcW w:type="dxa" w:w="3744"/>
            <w:shd w:fill="F8FAFC" w:val="clear"/>
            <w:tcMar>
              <w:top w:w="90" w:type="dxa"/>
              <w:bottom w:w="90" w:type="dxa"/>
              <w:left w:w="120" w:type="dxa"/>
              <w:right w:w="120" w:type="dxa"/>
            </w:tcMar>
          </w:tcPr>
          <w:p>
            <w:pPr>
              <w:spacing w:after="0"/>
            </w:pPr>
            <w:r>
              <w:rPr>
                <w:b w:val="0"/>
                <w:color w:val="0F172A"/>
                <w:sz w:val="17"/>
              </w:rPr>
              <w:t>Estricto: Valida sesiones, roles y CSRF en backend</w:t>
            </w:r>
          </w:p>
        </w:tc>
        <w:tc>
          <w:tcPr>
            <w:tcW w:type="dxa" w:w="3744"/>
            <w:shd w:fill="F8FAFC" w:val="clear"/>
            <w:tcMar>
              <w:top w:w="90" w:type="dxa"/>
              <w:bottom w:w="90" w:type="dxa"/>
              <w:left w:w="120" w:type="dxa"/>
              <w:right w:w="120" w:type="dxa"/>
            </w:tcMar>
          </w:tcPr>
          <w:p>
            <w:pPr>
              <w:spacing w:after="0"/>
            </w:pPr>
            <w:r>
              <w:rPr>
                <w:b w:val="0"/>
                <w:color w:val="0F172A"/>
                <w:sz w:val="17"/>
              </w:rPr>
              <w:t>Reactivo: Valida permisos de hardware y tokens en cliente</w:t>
            </w:r>
          </w:p>
        </w:tc>
      </w:tr>
      <w:tr>
        <w:tc>
          <w:tcPr>
            <w:tcW w:type="dxa" w:w="2592"/>
            <w:shd w:fill="FFFFFF" w:val="clear"/>
            <w:tcMar>
              <w:top w:w="90" w:type="dxa"/>
              <w:bottom w:w="90" w:type="dxa"/>
              <w:left w:w="120" w:type="dxa"/>
              <w:right w:w="120" w:type="dxa"/>
            </w:tcMar>
          </w:tcPr>
          <w:p>
            <w:pPr>
              <w:spacing w:after="0"/>
            </w:pPr>
            <w:r>
              <w:rPr>
                <w:b/>
                <w:color w:val="0F172A"/>
                <w:sz w:val="17"/>
              </w:rPr>
              <w:t>Comportamiento Offline</w:t>
            </w:r>
          </w:p>
        </w:tc>
        <w:tc>
          <w:tcPr>
            <w:tcW w:type="dxa" w:w="3744"/>
            <w:shd w:fill="FFFFFF" w:val="clear"/>
            <w:tcMar>
              <w:top w:w="90" w:type="dxa"/>
              <w:bottom w:w="90" w:type="dxa"/>
              <w:left w:w="120" w:type="dxa"/>
              <w:right w:w="120" w:type="dxa"/>
            </w:tcMar>
          </w:tcPr>
          <w:p>
            <w:pPr>
              <w:spacing w:after="0"/>
            </w:pPr>
            <w:r>
              <w:rPr>
                <w:b w:val="0"/>
                <w:color w:val="0F172A"/>
                <w:sz w:val="17"/>
              </w:rPr>
              <w:t>Requiere páginas precacheadas o fallback a /offline</w:t>
            </w:r>
          </w:p>
        </w:tc>
        <w:tc>
          <w:tcPr>
            <w:tcW w:type="dxa" w:w="3744"/>
            <w:shd w:fill="FFFFFF" w:val="clear"/>
            <w:tcMar>
              <w:top w:w="90" w:type="dxa"/>
              <w:bottom w:w="90" w:type="dxa"/>
              <w:left w:w="120" w:type="dxa"/>
              <w:right w:w="120" w:type="dxa"/>
            </w:tcMar>
          </w:tcPr>
          <w:p>
            <w:pPr>
              <w:spacing w:after="0"/>
            </w:pPr>
            <w:r>
              <w:rPr>
                <w:b w:val="0"/>
                <w:color w:val="0F172A"/>
                <w:sz w:val="17"/>
              </w:rPr>
              <w:t>Opera sin red ejecutando lógica JS directamente en cliente</w:t>
            </w:r>
          </w:p>
        </w:tc>
      </w:tr>
      <w:tr>
        <w:tc>
          <w:tcPr>
            <w:tcW w:type="dxa" w:w="2592"/>
            <w:shd w:fill="F8FAFC" w:val="clear"/>
            <w:tcMar>
              <w:top w:w="90" w:type="dxa"/>
              <w:bottom w:w="90" w:type="dxa"/>
              <w:left w:w="120" w:type="dxa"/>
              <w:right w:w="120" w:type="dxa"/>
            </w:tcMar>
          </w:tcPr>
          <w:p>
            <w:pPr>
              <w:spacing w:after="0"/>
            </w:pPr>
            <w:r>
              <w:rPr>
                <w:b/>
                <w:color w:val="0F172A"/>
                <w:sz w:val="17"/>
              </w:rPr>
              <w:t>Ventaja Principal</w:t>
            </w:r>
          </w:p>
        </w:tc>
        <w:tc>
          <w:tcPr>
            <w:tcW w:type="dxa" w:w="3744"/>
            <w:shd w:fill="F8FAFC" w:val="clear"/>
            <w:tcMar>
              <w:top w:w="90" w:type="dxa"/>
              <w:bottom w:w="90" w:type="dxa"/>
              <w:left w:w="120" w:type="dxa"/>
              <w:right w:w="120" w:type="dxa"/>
            </w:tcMar>
          </w:tcPr>
          <w:p>
            <w:pPr>
              <w:spacing w:after="0"/>
            </w:pPr>
            <w:r>
              <w:rPr>
                <w:b w:val="0"/>
                <w:color w:val="0F172A"/>
                <w:sz w:val="17"/>
              </w:rPr>
              <w:t>Seguridad de expedientes y renderizado inicial inmediato</w:t>
            </w:r>
          </w:p>
        </w:tc>
        <w:tc>
          <w:tcPr>
            <w:tcW w:type="dxa" w:w="3744"/>
            <w:shd w:fill="F8FAFC" w:val="clear"/>
            <w:tcMar>
              <w:top w:w="90" w:type="dxa"/>
              <w:bottom w:w="90" w:type="dxa"/>
              <w:left w:w="120" w:type="dxa"/>
              <w:right w:w="120" w:type="dxa"/>
            </w:tcMar>
          </w:tcPr>
          <w:p>
            <w:pPr>
              <w:spacing w:after="0"/>
            </w:pPr>
            <w:r>
              <w:rPr>
                <w:b w:val="0"/>
                <w:color w:val="0F172A"/>
                <w:sz w:val="17"/>
              </w:rPr>
              <w:t>Experiencia fluida idéntica a app nativa sin recargas de página</w:t>
            </w:r>
          </w:p>
        </w:tc>
      </w:tr>
    </w:tbl>
    <w:p>
      <w:pPr>
        <w:spacing w:after="120"/>
      </w:pPr>
    </w:p>
    <w:p>
      <w:pPr>
        <w:pStyle w:val="Heading2"/>
        <w:spacing w:before="280" w:after="120"/>
      </w:pPr>
      <w:r>
        <w:rPr>
          <w:color w:val="1E293B"/>
        </w:rPr>
        <w:t>3.4 Módulo de Datos y Persistencia</w:t>
      </w:r>
    </w:p>
    <w:p>
      <w:pPr>
        <w:spacing w:after="120" w:line="276" w:lineRule="auto"/>
        <w:jc w:val="left"/>
      </w:pPr>
      <w:r>
        <w:rPr>
          <w:b w:val="0"/>
          <w:i w:val="0"/>
          <w:sz w:val="20"/>
        </w:rPr>
        <w:t>La persistencia de información en HealthVault opera en dos niveles complementarios:</w:t>
        <w:br/>
        <w:t>1. Nivel Servidor (Relacional): Base de datos PostgreSQL / SQLite administrada por SQLAlchemy ORM con los modelos User, Document y AuditLog, garantizando transaccionalidad ACID y auditoría completa de acceso a expedientes.</w:t>
        <w:br/>
        <w:t>2. Nivel Cliente (PWA): CacheStorage e IndexedDB, donde el Service Worker almacena el App Shell y los recursos necesarios para que el médico pueda consultar los expedientes visualizados previamente aun sin conexión de red.</w:t>
      </w:r>
    </w:p>
    <w:p>
      <w:pPr>
        <w:pStyle w:val="Heading2"/>
        <w:spacing w:before="280" w:after="120"/>
      </w:pPr>
      <w:r>
        <w:rPr>
          <w:color w:val="1E293B"/>
        </w:rPr>
        <w:t>3.5 Service Worker Offline y Pantalla de Fallback</w:t>
      </w:r>
    </w:p>
    <w:p>
      <w:pPr>
        <w:spacing w:after="120" w:line="276" w:lineRule="auto"/>
        <w:jc w:val="left"/>
      </w:pPr>
      <w:r>
        <w:rPr>
          <w:b w:val="0"/>
          <w:i w:val="0"/>
          <w:sz w:val="20"/>
        </w:rPr>
        <w:t>El Service Worker ('static/sw.js') implementa una estrategia híbrida de intercepción de red:</w:t>
        <w:br/>
        <w:t>• Estrategia Cache-First (con Stale-While-Revalidate) para activos estáticos (/static/, /manifest.json, CSS, JS, imágenes).</w:t>
        <w:br/>
        <w:t>• Estrategia Network-First para rutas de navegación dinámica: intenta consultar al servidor Flask; si la red falla o se pierde la conexión, busca la respuesta en la caché y, si la página no está en caché, retorna automáticamente la página de respaldo '/offline' ('templates/offline.html').</w:t>
      </w:r>
    </w:p>
    <w:p>
      <w:pPr>
        <w:spacing w:before="160" w:after="40"/>
      </w:pPr>
      <w:r>
        <w:rPr>
          <w:b/>
          <w:color w:val="0EA5E9"/>
          <w:sz w:val="18"/>
        </w:rPr>
        <w:t>💻 Service Worker — Estrategia Network-First con Fallback Offline</w:t>
      </w:r>
    </w:p>
    <w:p>
      <w:pPr>
        <w:spacing w:after="120" w:line="252" w:lineRule="auto"/>
        <w:ind w:left="283"/>
        <w:shd w:fill="0F172A" w:val="clear"/>
      </w:pPr>
      <w:r>
        <w:rPr>
          <w:rFonts w:ascii="Courier New" w:hAnsi="Courier New"/>
          <w:color w:val="22C55E"/>
          <w:sz w:val="16"/>
        </w:rPr>
        <w:t>// Intercepción fetch con fallback a /offline (static/sw.js)</w:t>
        <w:br/>
        <w:t>self.addEventListener('fetch', event =&gt; {</w:t>
        <w:br/>
        <w:t xml:space="preserve">  if (event.request.method !== 'GET') return;</w:t>
        <w:br/>
        <w:t xml:space="preserve">  if (!event.request.url.startsWith(self.location.origin)) return;</w:t>
        <w:br/>
        <w:br/>
        <w:t xml:space="preserve">  event.respondWith(</w:t>
        <w:br/>
        <w:t xml:space="preserve">    fetch(event.request)</w:t>
        <w:br/>
        <w:t xml:space="preserve">      .then(response =&gt; {</w:t>
        <w:br/>
        <w:t xml:space="preserve">        if (response &amp;&amp; response.status === 200) {</w:t>
        <w:br/>
        <w:t xml:space="preserve">          const clone = response.clone();</w:t>
        <w:br/>
        <w:t xml:space="preserve">          caches.open(CACHE_NAME).then(c =&gt; c.put(event.request, clone));</w:t>
        <w:br/>
        <w:t xml:space="preserve">        }</w:t>
        <w:br/>
        <w:t xml:space="preserve">        return response;</w:t>
        <w:br/>
        <w:t xml:space="preserve">      })</w:t>
        <w:br/>
        <w:t xml:space="preserve">      .catch(async () =&gt; {</w:t>
        <w:br/>
        <w:t xml:space="preserve">        const cached = await caches.match(event.request);</w:t>
        <w:br/>
        <w:t xml:space="preserve">        if (cached) return cached;</w:t>
        <w:br/>
        <w:t xml:space="preserve">        if (event.request.mode === 'navigate') {</w:t>
        <w:br/>
        <w:t xml:space="preserve">          return caches.match('/offline') || caches.match('/login');</w:t>
        <w:br/>
        <w:t xml:space="preserve">        }</w:t>
        <w:br/>
        <w:t xml:space="preserve">        return new Response('Offline', { status: 503 });</w:t>
        <w:br/>
        <w:t xml:space="preserve">      })</w:t>
        <w:br/>
        <w:t xml:space="preserve">  );</w:t>
        <w:br/>
        <w:t>});</w:t>
      </w:r>
    </w:p>
    <w:p>
      <w:r>
        <w:br w:type="page"/>
      </w:r>
    </w:p>
    <w:p>
      <w:pPr>
        <w:pStyle w:val="Heading1"/>
        <w:spacing w:before="280" w:after="120"/>
      </w:pPr>
      <w:r>
        <w:rPr>
          <w:color w:val="0F172A"/>
        </w:rPr>
        <w:t>4. Reporte de Pruebas y Validación en Destino</w:t>
      </w:r>
    </w:p>
    <w:p>
      <w:pPr>
        <w:spacing w:after="120" w:line="276" w:lineRule="auto"/>
        <w:jc w:val="left"/>
      </w:pPr>
      <w:r>
        <w:rPr>
          <w:b w:val="0"/>
          <w:i w:val="0"/>
          <w:sz w:val="20"/>
        </w:rPr>
        <w:t>A continuación se presenta el reporte gráfico de pruebas funcionales ejecutadas sobre la PWA HealthVault en el navegador de destino local (http://127.0.0.1:5000), validando la totalidad de los criterios exigidos en la Práctica 2.2.</w:t>
      </w:r>
    </w:p>
    <w:p>
      <w:pPr>
        <w:pStyle w:val="Heading2"/>
        <w:spacing w:before="280" w:after="120"/>
      </w:pPr>
      <w:r>
        <w:rPr>
          <w:color w:val="1E293B"/>
        </w:rPr>
        <w:t>4.1 Prueba 1: Carga del App Shell y Autenticación</w:t>
      </w:r>
    </w:p>
    <w:p>
      <w:pPr>
        <w:spacing w:after="120" w:line="276" w:lineRule="auto"/>
        <w:jc w:val="left"/>
      </w:pPr>
      <w:r>
        <w:rPr>
          <w:b w:val="0"/>
          <w:i w:val="0"/>
          <w:sz w:val="19"/>
        </w:rPr>
        <w:t>Verificación de la carga inicial del cascarón de aplicación (App Shell), diseño médico profesional, estilos responsivos y autenticación segura con credenciales de administrador (admin_sys).</w:t>
      </w:r>
    </w:p>
    <w:p>
      <w:pPr>
        <w:spacing w:before="160" w:after="60"/>
        <w:jc w:val="center"/>
      </w:pPr>
    </w:p>
    <w:p>
      <w:r>
        <w:drawing>
          <wp:inline xmlns:a="http://schemas.openxmlformats.org/drawingml/2006/main" xmlns:pic="http://schemas.openxmlformats.org/drawingml/2006/picture">
            <wp:extent cx="5303520" cy="2610326"/>
            <wp:docPr id="2" name="Picture 2"/>
            <wp:cNvGraphicFramePr>
              <a:graphicFrameLocks noChangeAspect="1"/>
            </wp:cNvGraphicFramePr>
            <a:graphic>
              <a:graphicData uri="http://schemas.openxmlformats.org/drawingml/2006/picture">
                <pic:pic>
                  <pic:nvPicPr>
                    <pic:cNvPr id="0" name="pwa22_01_login_1793065770231.png"/>
                    <pic:cNvPicPr/>
                  </pic:nvPicPr>
                  <pic:blipFill>
                    <a:blip r:embed="rId10"/>
                    <a:stretch>
                      <a:fillRect/>
                    </a:stretch>
                  </pic:blipFill>
                  <pic:spPr>
                    <a:xfrm>
                      <a:off x="0" y="0"/>
                      <a:ext cx="5303520" cy="2610326"/>
                    </a:xfrm>
                    <a:prstGeom prst="rect"/>
                  </pic:spPr>
                </pic:pic>
              </a:graphicData>
            </a:graphic>
          </wp:inline>
        </w:drawing>
      </w:r>
    </w:p>
    <w:p>
      <w:pPr>
        <w:spacing w:after="240"/>
        <w:jc w:val="center"/>
      </w:pPr>
      <w:r>
        <w:rPr>
          <w:i/>
          <w:color w:val="64748B"/>
          <w:sz w:val="17"/>
        </w:rPr>
        <w:t>Figura: Pantalla de inicio de sesión con App Shell médico cargado.</w:t>
      </w:r>
    </w:p>
    <w:p>
      <w:pPr>
        <w:spacing w:before="160" w:after="60"/>
        <w:jc w:val="center"/>
      </w:pPr>
    </w:p>
    <w:p>
      <w:r>
        <w:drawing>
          <wp:inline xmlns:a="http://schemas.openxmlformats.org/drawingml/2006/main" xmlns:pic="http://schemas.openxmlformats.org/drawingml/2006/picture">
            <wp:extent cx="5303520" cy="2610326"/>
            <wp:docPr id="3" name="Picture 3"/>
            <wp:cNvGraphicFramePr>
              <a:graphicFrameLocks noChangeAspect="1"/>
            </wp:cNvGraphicFramePr>
            <a:graphic>
              <a:graphicData uri="http://schemas.openxmlformats.org/drawingml/2006/picture">
                <pic:pic>
                  <pic:nvPicPr>
                    <pic:cNvPr id="0" name="pwa22_02_dashboard_appshell_1793065757751.png"/>
                    <pic:cNvPicPr/>
                  </pic:nvPicPr>
                  <pic:blipFill>
                    <a:blip r:embed="rId11"/>
                    <a:stretch>
                      <a:fillRect/>
                    </a:stretch>
                  </pic:blipFill>
                  <pic:spPr>
                    <a:xfrm>
                      <a:off x="0" y="0"/>
                      <a:ext cx="5303520" cy="2610326"/>
                    </a:xfrm>
                    <a:prstGeom prst="rect"/>
                  </pic:spPr>
                </pic:pic>
              </a:graphicData>
            </a:graphic>
          </wp:inline>
        </w:drawing>
      </w:r>
    </w:p>
    <w:p>
      <w:pPr>
        <w:spacing w:after="240"/>
        <w:jc w:val="center"/>
      </w:pPr>
      <w:r>
        <w:rPr>
          <w:i/>
          <w:color w:val="64748B"/>
          <w:sz w:val="17"/>
        </w:rPr>
        <w:t>Figura: Dashboard principal con listado de expedientes clínicos y barra de navegación PWA.</w:t>
      </w:r>
    </w:p>
    <w:p>
      <w:pPr>
        <w:pStyle w:val="Heading2"/>
        <w:spacing w:before="280" w:after="120"/>
      </w:pPr>
      <w:r>
        <w:rPr>
          <w:color w:val="1E293B"/>
        </w:rPr>
        <w:t>4.2 Prueba 2: Panel de Control PWA y Verificación de Contexto Seguro</w:t>
      </w:r>
    </w:p>
    <w:p>
      <w:pPr>
        <w:spacing w:after="120" w:line="276" w:lineRule="auto"/>
        <w:jc w:val="left"/>
      </w:pPr>
      <w:r>
        <w:rPr>
          <w:b w:val="0"/>
          <w:i w:val="0"/>
          <w:sz w:val="19"/>
        </w:rPr>
        <w:t>Ingreso a la sección '/pwa-features' mostrando el Hero Banner con los distintivos oficiales de las Prácticas 2.1 y 2.2, confirmando el registro del Service Worker y el estatus de Contexto Seguro W3C.</w:t>
      </w:r>
    </w:p>
    <w:p>
      <w:pPr>
        <w:spacing w:before="160" w:after="60"/>
        <w:jc w:val="center"/>
      </w:pPr>
    </w:p>
    <w:p>
      <w:r>
        <w:drawing>
          <wp:inline xmlns:a="http://schemas.openxmlformats.org/drawingml/2006/main" xmlns:pic="http://schemas.openxmlformats.org/drawingml/2006/picture">
            <wp:extent cx="5303520" cy="2610326"/>
            <wp:docPr id="4" name="Picture 4"/>
            <wp:cNvGraphicFramePr>
              <a:graphicFrameLocks noChangeAspect="1"/>
            </wp:cNvGraphicFramePr>
            <a:graphic>
              <a:graphicData uri="http://schemas.openxmlformats.org/drawingml/2006/picture">
                <pic:pic>
                  <pic:nvPicPr>
                    <pic:cNvPr id="0" name="pwa22_03_pwa_console_overview_1793065814732.png"/>
                    <pic:cNvPicPr/>
                  </pic:nvPicPr>
                  <pic:blipFill>
                    <a:blip r:embed="rId12"/>
                    <a:stretch>
                      <a:fillRect/>
                    </a:stretch>
                  </pic:blipFill>
                  <pic:spPr>
                    <a:xfrm>
                      <a:off x="0" y="0"/>
                      <a:ext cx="5303520" cy="2610326"/>
                    </a:xfrm>
                    <a:prstGeom prst="rect"/>
                  </pic:spPr>
                </pic:pic>
              </a:graphicData>
            </a:graphic>
          </wp:inline>
        </w:drawing>
      </w:r>
    </w:p>
    <w:p>
      <w:pPr>
        <w:spacing w:after="240"/>
        <w:jc w:val="center"/>
      </w:pPr>
      <w:r>
        <w:rPr>
          <w:i/>
          <w:color w:val="64748B"/>
          <w:sz w:val="17"/>
        </w:rPr>
        <w:t>Figura: Vista panorámica de la Consola PWA HealthVault y sección teórica de flujo push.</w:t>
      </w:r>
    </w:p>
    <w:p>
      <w:pPr>
        <w:pStyle w:val="Heading2"/>
        <w:spacing w:before="280" w:after="120"/>
      </w:pPr>
      <w:r>
        <w:rPr>
          <w:color w:val="1E293B"/>
        </w:rPr>
        <w:t>4.3 Prueba 3: Auditoría del Manifiesto e Instalabilidad PWA</w:t>
      </w:r>
    </w:p>
    <w:p>
      <w:pPr>
        <w:spacing w:after="120" w:line="276" w:lineRule="auto"/>
        <w:jc w:val="left"/>
      </w:pPr>
      <w:r>
        <w:rPr>
          <w:b w:val="0"/>
          <w:i w:val="0"/>
          <w:sz w:val="19"/>
        </w:rPr>
        <w:t>Validación de los criterios de instalabilidad de la PWA: tarjeta de Manifiesto Web con 8 resoluciones de iconos, visualización del archivo JSON servido con cabecera application/manifest+json y botón interactivo de instalación.</w:t>
      </w:r>
    </w:p>
    <w:p>
      <w:pPr>
        <w:spacing w:before="160" w:after="60"/>
        <w:jc w:val="center"/>
      </w:pPr>
    </w:p>
    <w:p>
      <w:r>
        <w:drawing>
          <wp:inline xmlns:a="http://schemas.openxmlformats.org/drawingml/2006/main" xmlns:pic="http://schemas.openxmlformats.org/drawingml/2006/picture">
            <wp:extent cx="5303520" cy="2610326"/>
            <wp:docPr id="5" name="Picture 5"/>
            <wp:cNvGraphicFramePr>
              <a:graphicFrameLocks noChangeAspect="1"/>
            </wp:cNvGraphicFramePr>
            <a:graphic>
              <a:graphicData uri="http://schemas.openxmlformats.org/drawingml/2006/picture">
                <pic:pic>
                  <pic:nvPicPr>
                    <pic:cNvPr id="0" name="pwa22_04_manifest_install_card_1793065827661.png"/>
                    <pic:cNvPicPr/>
                  </pic:nvPicPr>
                  <pic:blipFill>
                    <a:blip r:embed="rId13"/>
                    <a:stretch>
                      <a:fillRect/>
                    </a:stretch>
                  </pic:blipFill>
                  <pic:spPr>
                    <a:xfrm>
                      <a:off x="0" y="0"/>
                      <a:ext cx="5303520" cy="2610326"/>
                    </a:xfrm>
                    <a:prstGeom prst="rect"/>
                  </pic:spPr>
                </pic:pic>
              </a:graphicData>
            </a:graphic>
          </wp:inline>
        </w:drawing>
      </w:r>
    </w:p>
    <w:p>
      <w:pPr>
        <w:spacing w:after="240"/>
        <w:jc w:val="center"/>
      </w:pPr>
      <w:r>
        <w:rPr>
          <w:i/>
          <w:color w:val="64748B"/>
          <w:sz w:val="17"/>
        </w:rPr>
        <w:t>Figura: Tarjeta de Instalabilidad PWA, Manifiesto Web y Contexto Seguro W3C activo.</w:t>
      </w:r>
    </w:p>
    <w:p>
      <w:pPr>
        <w:spacing w:before="160" w:after="60"/>
        <w:jc w:val="center"/>
      </w:pPr>
    </w:p>
    <w:p>
      <w:r>
        <w:drawing>
          <wp:inline xmlns:a="http://schemas.openxmlformats.org/drawingml/2006/main" xmlns:pic="http://schemas.openxmlformats.org/drawingml/2006/picture">
            <wp:extent cx="5303520" cy="2610326"/>
            <wp:docPr id="6" name="Picture 6"/>
            <wp:cNvGraphicFramePr>
              <a:graphicFrameLocks noChangeAspect="1"/>
            </wp:cNvGraphicFramePr>
            <a:graphic>
              <a:graphicData uri="http://schemas.openxmlformats.org/drawingml/2006/picture">
                <pic:pic>
                  <pic:nvPicPr>
                    <pic:cNvPr id="0" name="pwa22_08_manifest_json_1793065946376.png"/>
                    <pic:cNvPicPr/>
                  </pic:nvPicPr>
                  <pic:blipFill>
                    <a:blip r:embed="rId14"/>
                    <a:stretch>
                      <a:fillRect/>
                    </a:stretch>
                  </pic:blipFill>
                  <pic:spPr>
                    <a:xfrm>
                      <a:off x="0" y="0"/>
                      <a:ext cx="5303520" cy="2610326"/>
                    </a:xfrm>
                    <a:prstGeom prst="rect"/>
                  </pic:spPr>
                </pic:pic>
              </a:graphicData>
            </a:graphic>
          </wp:inline>
        </w:drawing>
      </w:r>
    </w:p>
    <w:p>
      <w:pPr>
        <w:spacing w:after="240"/>
        <w:jc w:val="center"/>
      </w:pPr>
      <w:r>
        <w:rPr>
          <w:i/>
          <w:color w:val="64748B"/>
          <w:sz w:val="17"/>
        </w:rPr>
        <w:t>Figura: Inspección directa del archivo manifest.json con metadatos completos y shortcuts.</w:t>
      </w:r>
    </w:p>
    <w:p>
      <w:pPr>
        <w:pStyle w:val="Heading2"/>
        <w:spacing w:before="280" w:after="120"/>
      </w:pPr>
      <w:r>
        <w:rPr>
          <w:color w:val="1E293B"/>
        </w:rPr>
        <w:t>4.4 Prueba 4: Auditoría del Service Worker y Caché Offline</w:t>
      </w:r>
    </w:p>
    <w:p>
      <w:pPr>
        <w:spacing w:after="120" w:line="276" w:lineRule="auto"/>
        <w:jc w:val="left"/>
      </w:pPr>
      <w:r>
        <w:rPr>
          <w:b w:val="0"/>
          <w:i w:val="0"/>
          <w:sz w:val="19"/>
        </w:rPr>
        <w:t>Ejecución de la herramienta de auditoría de CacheStorage desde la consola PWA, verificando el pre-caching exitoso de los activos esenciales del App Shell (CSS, JS, iconos, rutas clave) bajo el contenedor 'healthvault-v2.2-prod'.</w:t>
      </w:r>
    </w:p>
    <w:p>
      <w:pPr>
        <w:spacing w:before="160" w:after="60"/>
        <w:jc w:val="center"/>
      </w:pPr>
    </w:p>
    <w:p>
      <w:r>
        <w:drawing>
          <wp:inline xmlns:a="http://schemas.openxmlformats.org/drawingml/2006/main" xmlns:pic="http://schemas.openxmlformats.org/drawingml/2006/picture">
            <wp:extent cx="5303520" cy="2610326"/>
            <wp:docPr id="7" name="Picture 7"/>
            <wp:cNvGraphicFramePr>
              <a:graphicFrameLocks noChangeAspect="1"/>
            </wp:cNvGraphicFramePr>
            <a:graphic>
              <a:graphicData uri="http://schemas.openxmlformats.org/drawingml/2006/picture">
                <pic:pic>
                  <pic:nvPicPr>
                    <pic:cNvPr id="0" name="pwa22_05_cache_audit_1793065863281.png"/>
                    <pic:cNvPicPr/>
                  </pic:nvPicPr>
                  <pic:blipFill>
                    <a:blip r:embed="rId15"/>
                    <a:stretch>
                      <a:fillRect/>
                    </a:stretch>
                  </pic:blipFill>
                  <pic:spPr>
                    <a:xfrm>
                      <a:off x="0" y="0"/>
                      <a:ext cx="5303520" cy="2610326"/>
                    </a:xfrm>
                    <a:prstGeom prst="rect"/>
                  </pic:spPr>
                </pic:pic>
              </a:graphicData>
            </a:graphic>
          </wp:inline>
        </w:drawing>
      </w:r>
    </w:p>
    <w:p>
      <w:pPr>
        <w:spacing w:after="240"/>
        <w:jc w:val="center"/>
      </w:pPr>
      <w:r>
        <w:rPr>
          <w:i/>
          <w:color w:val="64748B"/>
          <w:sz w:val="17"/>
        </w:rPr>
        <w:t>Figura: Auditoría en tiempo real de CacheStorage mostrando 19 recursos precacheados.</w:t>
      </w:r>
    </w:p>
    <w:p>
      <w:pPr>
        <w:pStyle w:val="Heading2"/>
        <w:spacing w:before="280" w:after="120"/>
      </w:pPr>
      <w:r>
        <w:rPr>
          <w:color w:val="1E293B"/>
        </w:rPr>
        <w:t>4.5 Prueba 5: Verificación del Modo Offline y Pantalla de Fallback</w:t>
      </w:r>
    </w:p>
    <w:p>
      <w:pPr>
        <w:spacing w:after="120" w:line="276" w:lineRule="auto"/>
        <w:jc w:val="left"/>
      </w:pPr>
      <w:r>
        <w:rPr>
          <w:b w:val="0"/>
          <w:i w:val="0"/>
          <w:sz w:val="19"/>
        </w:rPr>
        <w:t>Simulación de navegación sin conexión. El Service Worker intercepta la ausencia de conectividad y despliega de inmediato la pantalla especializada '/offline' con auto-reconexión reactiva y acceso a los datos médicos en caché.</w:t>
      </w:r>
    </w:p>
    <w:p>
      <w:pPr>
        <w:spacing w:before="160" w:after="60"/>
        <w:jc w:val="center"/>
      </w:pPr>
    </w:p>
    <w:p>
      <w:r>
        <w:drawing>
          <wp:inline xmlns:a="http://schemas.openxmlformats.org/drawingml/2006/main" xmlns:pic="http://schemas.openxmlformats.org/drawingml/2006/picture">
            <wp:extent cx="5303520" cy="2610326"/>
            <wp:docPr id="8" name="Picture 8"/>
            <wp:cNvGraphicFramePr>
              <a:graphicFrameLocks noChangeAspect="1"/>
            </wp:cNvGraphicFramePr>
            <a:graphic>
              <a:graphicData uri="http://schemas.openxmlformats.org/drawingml/2006/picture">
                <pic:pic>
                  <pic:nvPicPr>
                    <pic:cNvPr id="0" name="pwa22_07_offline_screen_1793065926710.png"/>
                    <pic:cNvPicPr/>
                  </pic:nvPicPr>
                  <pic:blipFill>
                    <a:blip r:embed="rId16"/>
                    <a:stretch>
                      <a:fillRect/>
                    </a:stretch>
                  </pic:blipFill>
                  <pic:spPr>
                    <a:xfrm>
                      <a:off x="0" y="0"/>
                      <a:ext cx="5303520" cy="2610326"/>
                    </a:xfrm>
                    <a:prstGeom prst="rect"/>
                  </pic:spPr>
                </pic:pic>
              </a:graphicData>
            </a:graphic>
          </wp:inline>
        </w:drawing>
      </w:r>
    </w:p>
    <w:p>
      <w:pPr>
        <w:spacing w:after="240"/>
        <w:jc w:val="center"/>
      </w:pPr>
      <w:r>
        <w:rPr>
          <w:i/>
          <w:color w:val="64748B"/>
          <w:sz w:val="17"/>
        </w:rPr>
        <w:t>Figura: Pantalla de contingencia Offline de HealthVault con listener de reconexión.</w:t>
      </w:r>
    </w:p>
    <w:p>
      <w:pPr>
        <w:pStyle w:val="Heading2"/>
        <w:spacing w:before="280" w:after="120"/>
      </w:pPr>
      <w:r>
        <w:rPr>
          <w:color w:val="1E293B"/>
        </w:rPr>
        <w:t>4.6 Prueba 6: Sistema de Notificaciones Push VAPID</w:t>
      </w:r>
    </w:p>
    <w:p>
      <w:pPr>
        <w:spacing w:after="120" w:line="276" w:lineRule="auto"/>
        <w:jc w:val="left"/>
      </w:pPr>
      <w:r>
        <w:rPr>
          <w:b w:val="0"/>
          <w:i w:val="0"/>
          <w:sz w:val="19"/>
        </w:rPr>
        <w:t>Comprobación del envío y recepción de notificaciones push de prueba emitidas desde el Service Worker con vibración háptica, insignias médicas y botones de acción rápida.</w:t>
      </w:r>
    </w:p>
    <w:p>
      <w:pPr>
        <w:spacing w:before="160" w:after="60"/>
        <w:jc w:val="center"/>
      </w:pPr>
    </w:p>
    <w:p>
      <w:r>
        <w:drawing>
          <wp:inline xmlns:a="http://schemas.openxmlformats.org/drawingml/2006/main" xmlns:pic="http://schemas.openxmlformats.org/drawingml/2006/picture">
            <wp:extent cx="5303520" cy="2610326"/>
            <wp:docPr id="9" name="Picture 9"/>
            <wp:cNvGraphicFramePr>
              <a:graphicFrameLocks noChangeAspect="1"/>
            </wp:cNvGraphicFramePr>
            <a:graphic>
              <a:graphicData uri="http://schemas.openxmlformats.org/drawingml/2006/picture">
                <pic:pic>
                  <pic:nvPicPr>
                    <pic:cNvPr id="0" name="pwa22_06_push_test_1793065907931.png"/>
                    <pic:cNvPicPr/>
                  </pic:nvPicPr>
                  <pic:blipFill>
                    <a:blip r:embed="rId17"/>
                    <a:stretch>
                      <a:fillRect/>
                    </a:stretch>
                  </pic:blipFill>
                  <pic:spPr>
                    <a:xfrm>
                      <a:off x="0" y="0"/>
                      <a:ext cx="5303520" cy="2610326"/>
                    </a:xfrm>
                    <a:prstGeom prst="rect"/>
                  </pic:spPr>
                </pic:pic>
              </a:graphicData>
            </a:graphic>
          </wp:inline>
        </w:drawing>
      </w:r>
    </w:p>
    <w:p>
      <w:pPr>
        <w:spacing w:after="240"/>
        <w:jc w:val="center"/>
      </w:pPr>
      <w:r>
        <w:rPr>
          <w:i/>
          <w:color w:val="64748B"/>
          <w:sz w:val="17"/>
        </w:rPr>
        <w:t>Figura: Notificación push disparada con confirmación toast y log de eventos actualizado.</w:t>
      </w:r>
    </w:p>
    <w:p>
      <w:pPr>
        <w:pStyle w:val="Heading2"/>
        <w:spacing w:before="280" w:after="120"/>
      </w:pPr>
      <w:r>
        <w:rPr>
          <w:color w:val="1E293B"/>
        </w:rPr>
        <w:t>4.7 Prueba 7: Integración con Características Nativas de Hardware (GPS)</w:t>
      </w:r>
    </w:p>
    <w:p>
      <w:pPr>
        <w:spacing w:after="120" w:line="276" w:lineRule="auto"/>
        <w:jc w:val="left"/>
      </w:pPr>
      <w:r>
        <w:rPr>
          <w:b w:val="0"/>
          <w:i w:val="0"/>
          <w:sz w:val="19"/>
        </w:rPr>
        <w:t>Validación del acceso controlado a la API de Geolocalización nativa mediante GPS, obteniendo coordenadas exactas, cálculo de precisión y botón de mapeo satelital.</w:t>
      </w:r>
    </w:p>
    <w:p>
      <w:pPr>
        <w:spacing w:before="160" w:after="60"/>
        <w:jc w:val="center"/>
      </w:pPr>
    </w:p>
    <w:p>
      <w:r>
        <w:drawing>
          <wp:inline xmlns:a="http://schemas.openxmlformats.org/drawingml/2006/main" xmlns:pic="http://schemas.openxmlformats.org/drawingml/2006/picture">
            <wp:extent cx="5303520" cy="2610326"/>
            <wp:docPr id="10" name="Picture 10"/>
            <wp:cNvGraphicFramePr>
              <a:graphicFrameLocks noChangeAspect="1"/>
            </wp:cNvGraphicFramePr>
            <a:graphic>
              <a:graphicData uri="http://schemas.openxmlformats.org/drawingml/2006/picture">
                <pic:pic>
                  <pic:nvPicPr>
                    <pic:cNvPr id="0" name="pwa22_09_geolocation_test_1793066023124.png"/>
                    <pic:cNvPicPr/>
                  </pic:nvPicPr>
                  <pic:blipFill>
                    <a:blip r:embed="rId18"/>
                    <a:stretch>
                      <a:fillRect/>
                    </a:stretch>
                  </pic:blipFill>
                  <pic:spPr>
                    <a:xfrm>
                      <a:off x="0" y="0"/>
                      <a:ext cx="5303520" cy="2610326"/>
                    </a:xfrm>
                    <a:prstGeom prst="rect"/>
                  </pic:spPr>
                </pic:pic>
              </a:graphicData>
            </a:graphic>
          </wp:inline>
        </w:drawing>
      </w:r>
    </w:p>
    <w:p>
      <w:pPr>
        <w:spacing w:after="240"/>
        <w:jc w:val="center"/>
      </w:pPr>
      <w:r>
        <w:rPr>
          <w:i/>
          <w:color w:val="64748B"/>
          <w:sz w:val="17"/>
        </w:rPr>
        <w:t>Figura: Lectura GPS en tiempo real con latitud, longitud, precisión y enlace a mapas.</w:t>
      </w:r>
    </w:p>
    <w:p>
      <w:pPr>
        <w:pStyle w:val="Heading2"/>
        <w:spacing w:before="280" w:after="120"/>
      </w:pPr>
      <w:r>
        <w:rPr>
          <w:color w:val="1E293B"/>
        </w:rPr>
        <w:t>4.8 Tabla Resumen de Pruebas de Calidad PWA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864"/>
            <w:shd w:fill="0EA5E9" w:val="clear"/>
            <w:tcMar>
              <w:top w:w="80" w:type="dxa"/>
              <w:bottom w:w="80" w:type="dxa"/>
              <w:left w:w="100" w:type="dxa"/>
              <w:right w:w="100" w:type="dxa"/>
            </w:tcMar>
          </w:tcPr>
          <w:p>
            <w:pPr>
              <w:spacing w:after="0"/>
            </w:pPr>
            <w:r>
              <w:rPr>
                <w:b/>
                <w:color w:val="FFFFFF"/>
                <w:sz w:val="17"/>
              </w:rPr>
              <w:t>#</w:t>
            </w:r>
          </w:p>
        </w:tc>
        <w:tc>
          <w:tcPr>
            <w:tcW w:type="dxa" w:w="3168"/>
            <w:shd w:fill="0EA5E9" w:val="clear"/>
            <w:tcMar>
              <w:top w:w="80" w:type="dxa"/>
              <w:bottom w:w="80" w:type="dxa"/>
              <w:left w:w="100" w:type="dxa"/>
              <w:right w:w="100" w:type="dxa"/>
            </w:tcMar>
          </w:tcPr>
          <w:p>
            <w:pPr>
              <w:spacing w:after="0"/>
            </w:pPr>
            <w:r>
              <w:rPr>
                <w:b/>
                <w:color w:val="FFFFFF"/>
                <w:sz w:val="17"/>
              </w:rPr>
              <w:t>Componente Evaluado</w:t>
            </w:r>
          </w:p>
        </w:tc>
        <w:tc>
          <w:tcPr>
            <w:tcW w:type="dxa" w:w="4320"/>
            <w:shd w:fill="0EA5E9" w:val="clear"/>
            <w:tcMar>
              <w:top w:w="80" w:type="dxa"/>
              <w:bottom w:w="80" w:type="dxa"/>
              <w:left w:w="100" w:type="dxa"/>
              <w:right w:w="100" w:type="dxa"/>
            </w:tcMar>
          </w:tcPr>
          <w:p>
            <w:pPr>
              <w:spacing w:after="0"/>
            </w:pPr>
            <w:r>
              <w:rPr>
                <w:b/>
                <w:color w:val="FFFFFF"/>
                <w:sz w:val="17"/>
              </w:rPr>
              <w:t>Criterio de Aceptación</w:t>
            </w:r>
          </w:p>
        </w:tc>
        <w:tc>
          <w:tcPr>
            <w:tcW w:type="dxa" w:w="1728"/>
            <w:shd w:fill="0EA5E9" w:val="clear"/>
            <w:tcMar>
              <w:top w:w="80" w:type="dxa"/>
              <w:bottom w:w="80" w:type="dxa"/>
              <w:left w:w="100" w:type="dxa"/>
              <w:right w:w="100" w:type="dxa"/>
            </w:tcMar>
          </w:tcPr>
          <w:p>
            <w:pPr>
              <w:spacing w:after="0"/>
            </w:pPr>
            <w:r>
              <w:rPr>
                <w:b/>
                <w:color w:val="FFFFFF"/>
                <w:sz w:val="17"/>
              </w:rPr>
              <w:t>Resultado</w:t>
            </w:r>
          </w:p>
        </w:tc>
      </w:tr>
      <w:tr>
        <w:tc>
          <w:tcPr>
            <w:tcW w:type="dxa" w:w="864"/>
            <w:shd w:fill="F8FAFC" w:val="clear"/>
            <w:tcMar>
              <w:top w:w="80" w:type="dxa"/>
              <w:bottom w:w="80" w:type="dxa"/>
              <w:left w:w="100" w:type="dxa"/>
              <w:right w:w="100" w:type="dxa"/>
            </w:tcMar>
          </w:tcPr>
          <w:p>
            <w:pPr>
              <w:spacing w:after="0"/>
            </w:pPr>
            <w:r>
              <w:rPr>
                <w:b/>
                <w:color w:val="0F172A"/>
                <w:sz w:val="17"/>
              </w:rPr>
              <w:t>1</w:t>
            </w:r>
          </w:p>
        </w:tc>
        <w:tc>
          <w:tcPr>
            <w:tcW w:type="dxa" w:w="3168"/>
            <w:shd w:fill="F8FAFC" w:val="clear"/>
            <w:tcMar>
              <w:top w:w="80" w:type="dxa"/>
              <w:bottom w:w="80" w:type="dxa"/>
              <w:left w:w="100" w:type="dxa"/>
              <w:right w:w="100" w:type="dxa"/>
            </w:tcMar>
          </w:tcPr>
          <w:p>
            <w:pPr>
              <w:spacing w:after="0"/>
            </w:pPr>
            <w:r>
              <w:rPr>
                <w:b w:val="0"/>
                <w:color w:val="0F172A"/>
                <w:sz w:val="17"/>
              </w:rPr>
              <w:t>App Shell &amp; UI</w:t>
            </w:r>
          </w:p>
        </w:tc>
        <w:tc>
          <w:tcPr>
            <w:tcW w:type="dxa" w:w="4320"/>
            <w:shd w:fill="F8FAFC" w:val="clear"/>
            <w:tcMar>
              <w:top w:w="80" w:type="dxa"/>
              <w:bottom w:w="80" w:type="dxa"/>
              <w:left w:w="100" w:type="dxa"/>
              <w:right w:w="100" w:type="dxa"/>
            </w:tcMar>
          </w:tcPr>
          <w:p>
            <w:pPr>
              <w:spacing w:after="0"/>
            </w:pPr>
            <w:r>
              <w:rPr>
                <w:b w:val="0"/>
                <w:color w:val="0F172A"/>
                <w:sz w:val="17"/>
              </w:rPr>
              <w:t>Estructura modular responsiva con navbar y banners de estado</w:t>
            </w:r>
          </w:p>
        </w:tc>
        <w:tc>
          <w:tcPr>
            <w:tcW w:type="dxa" w:w="1728"/>
            <w:shd w:fill="F8FAFC" w:val="clear"/>
            <w:tcMar>
              <w:top w:w="80" w:type="dxa"/>
              <w:bottom w:w="80" w:type="dxa"/>
              <w:left w:w="100" w:type="dxa"/>
              <w:right w:w="100" w:type="dxa"/>
            </w:tcMar>
          </w:tcPr>
          <w:p>
            <w:pPr>
              <w:spacing w:after="0"/>
            </w:pPr>
            <w:r>
              <w:rPr>
                <w:b/>
                <w:color w:val="10B981"/>
                <w:sz w:val="17"/>
              </w:rPr>
              <w:t>APROBADO ✅</w:t>
            </w:r>
          </w:p>
        </w:tc>
      </w:tr>
      <w:tr>
        <w:tc>
          <w:tcPr>
            <w:tcW w:type="dxa" w:w="864"/>
            <w:shd w:fill="FFFFFF" w:val="clear"/>
            <w:tcMar>
              <w:top w:w="80" w:type="dxa"/>
              <w:bottom w:w="80" w:type="dxa"/>
              <w:left w:w="100" w:type="dxa"/>
              <w:right w:w="100" w:type="dxa"/>
            </w:tcMar>
          </w:tcPr>
          <w:p>
            <w:pPr>
              <w:spacing w:after="0"/>
            </w:pPr>
            <w:r>
              <w:rPr>
                <w:b/>
                <w:color w:val="0F172A"/>
                <w:sz w:val="17"/>
              </w:rPr>
              <w:t>2</w:t>
            </w:r>
          </w:p>
        </w:tc>
        <w:tc>
          <w:tcPr>
            <w:tcW w:type="dxa" w:w="3168"/>
            <w:shd w:fill="FFFFFF" w:val="clear"/>
            <w:tcMar>
              <w:top w:w="80" w:type="dxa"/>
              <w:bottom w:w="80" w:type="dxa"/>
              <w:left w:w="100" w:type="dxa"/>
              <w:right w:w="100" w:type="dxa"/>
            </w:tcMar>
          </w:tcPr>
          <w:p>
            <w:pPr>
              <w:spacing w:after="0"/>
            </w:pPr>
            <w:r>
              <w:rPr>
                <w:b w:val="0"/>
                <w:color w:val="0F172A"/>
                <w:sz w:val="17"/>
              </w:rPr>
              <w:t>Web App Manifest</w:t>
            </w:r>
          </w:p>
        </w:tc>
        <w:tc>
          <w:tcPr>
            <w:tcW w:type="dxa" w:w="4320"/>
            <w:shd w:fill="FFFFFF" w:val="clear"/>
            <w:tcMar>
              <w:top w:w="80" w:type="dxa"/>
              <w:bottom w:w="80" w:type="dxa"/>
              <w:left w:w="100" w:type="dxa"/>
              <w:right w:w="100" w:type="dxa"/>
            </w:tcMar>
          </w:tcPr>
          <w:p>
            <w:pPr>
              <w:spacing w:after="0"/>
            </w:pPr>
            <w:r>
              <w:rPr>
                <w:b w:val="0"/>
                <w:color w:val="0F172A"/>
                <w:sz w:val="17"/>
              </w:rPr>
              <w:t>8 iconos, standalone, shortcuts y categorías válidas</w:t>
            </w:r>
          </w:p>
        </w:tc>
        <w:tc>
          <w:tcPr>
            <w:tcW w:type="dxa" w:w="1728"/>
            <w:shd w:fill="FFFFFF" w:val="clear"/>
            <w:tcMar>
              <w:top w:w="80" w:type="dxa"/>
              <w:bottom w:w="80" w:type="dxa"/>
              <w:left w:w="100" w:type="dxa"/>
              <w:right w:w="100" w:type="dxa"/>
            </w:tcMar>
          </w:tcPr>
          <w:p>
            <w:pPr>
              <w:spacing w:after="0"/>
            </w:pPr>
            <w:r>
              <w:rPr>
                <w:b/>
                <w:color w:val="10B981"/>
                <w:sz w:val="17"/>
              </w:rPr>
              <w:t>APROBADO ✅</w:t>
            </w:r>
          </w:p>
        </w:tc>
      </w:tr>
      <w:tr>
        <w:tc>
          <w:tcPr>
            <w:tcW w:type="dxa" w:w="864"/>
            <w:shd w:fill="F8FAFC" w:val="clear"/>
            <w:tcMar>
              <w:top w:w="80" w:type="dxa"/>
              <w:bottom w:w="80" w:type="dxa"/>
              <w:left w:w="100" w:type="dxa"/>
              <w:right w:w="100" w:type="dxa"/>
            </w:tcMar>
          </w:tcPr>
          <w:p>
            <w:pPr>
              <w:spacing w:after="0"/>
            </w:pPr>
            <w:r>
              <w:rPr>
                <w:b/>
                <w:color w:val="0F172A"/>
                <w:sz w:val="17"/>
              </w:rPr>
              <w:t>3</w:t>
            </w:r>
          </w:p>
        </w:tc>
        <w:tc>
          <w:tcPr>
            <w:tcW w:type="dxa" w:w="3168"/>
            <w:shd w:fill="F8FAFC" w:val="clear"/>
            <w:tcMar>
              <w:top w:w="80" w:type="dxa"/>
              <w:bottom w:w="80" w:type="dxa"/>
              <w:left w:w="100" w:type="dxa"/>
              <w:right w:w="100" w:type="dxa"/>
            </w:tcMar>
          </w:tcPr>
          <w:p>
            <w:pPr>
              <w:spacing w:after="0"/>
            </w:pPr>
            <w:r>
              <w:rPr>
                <w:b w:val="0"/>
                <w:color w:val="0F172A"/>
                <w:sz w:val="17"/>
              </w:rPr>
              <w:t>Instalabilidad</w:t>
            </w:r>
          </w:p>
        </w:tc>
        <w:tc>
          <w:tcPr>
            <w:tcW w:type="dxa" w:w="4320"/>
            <w:shd w:fill="F8FAFC" w:val="clear"/>
            <w:tcMar>
              <w:top w:w="80" w:type="dxa"/>
              <w:bottom w:w="80" w:type="dxa"/>
              <w:left w:w="100" w:type="dxa"/>
              <w:right w:w="100" w:type="dxa"/>
            </w:tcMar>
          </w:tcPr>
          <w:p>
            <w:pPr>
              <w:spacing w:after="0"/>
            </w:pPr>
            <w:r>
              <w:rPr>
                <w:b w:val="0"/>
                <w:color w:val="0F172A"/>
                <w:sz w:val="17"/>
              </w:rPr>
              <w:t>beforeinstallprompt capturado y banner de instalación funcional</w:t>
            </w:r>
          </w:p>
        </w:tc>
        <w:tc>
          <w:tcPr>
            <w:tcW w:type="dxa" w:w="1728"/>
            <w:shd w:fill="F8FAFC" w:val="clear"/>
            <w:tcMar>
              <w:top w:w="80" w:type="dxa"/>
              <w:bottom w:w="80" w:type="dxa"/>
              <w:left w:w="100" w:type="dxa"/>
              <w:right w:w="100" w:type="dxa"/>
            </w:tcMar>
          </w:tcPr>
          <w:p>
            <w:pPr>
              <w:spacing w:after="0"/>
            </w:pPr>
            <w:r>
              <w:rPr>
                <w:b/>
                <w:color w:val="10B981"/>
                <w:sz w:val="17"/>
              </w:rPr>
              <w:t>APROBADO ✅</w:t>
            </w:r>
          </w:p>
        </w:tc>
      </w:tr>
      <w:tr>
        <w:tc>
          <w:tcPr>
            <w:tcW w:type="dxa" w:w="864"/>
            <w:shd w:fill="FFFFFF" w:val="clear"/>
            <w:tcMar>
              <w:top w:w="80" w:type="dxa"/>
              <w:bottom w:w="80" w:type="dxa"/>
              <w:left w:w="100" w:type="dxa"/>
              <w:right w:w="100" w:type="dxa"/>
            </w:tcMar>
          </w:tcPr>
          <w:p>
            <w:pPr>
              <w:spacing w:after="0"/>
            </w:pPr>
            <w:r>
              <w:rPr>
                <w:b/>
                <w:color w:val="0F172A"/>
                <w:sz w:val="17"/>
              </w:rPr>
              <w:t>4</w:t>
            </w:r>
          </w:p>
        </w:tc>
        <w:tc>
          <w:tcPr>
            <w:tcW w:type="dxa" w:w="3168"/>
            <w:shd w:fill="FFFFFF" w:val="clear"/>
            <w:tcMar>
              <w:top w:w="80" w:type="dxa"/>
              <w:bottom w:w="80" w:type="dxa"/>
              <w:left w:w="100" w:type="dxa"/>
              <w:right w:w="100" w:type="dxa"/>
            </w:tcMar>
          </w:tcPr>
          <w:p>
            <w:pPr>
              <w:spacing w:after="0"/>
            </w:pPr>
            <w:r>
              <w:rPr>
                <w:b w:val="0"/>
                <w:color w:val="0F172A"/>
                <w:sz w:val="17"/>
              </w:rPr>
              <w:t>Service Worker Offline</w:t>
            </w:r>
          </w:p>
        </w:tc>
        <w:tc>
          <w:tcPr>
            <w:tcW w:type="dxa" w:w="4320"/>
            <w:shd w:fill="FFFFFF" w:val="clear"/>
            <w:tcMar>
              <w:top w:w="80" w:type="dxa"/>
              <w:bottom w:w="80" w:type="dxa"/>
              <w:left w:w="100" w:type="dxa"/>
              <w:right w:w="100" w:type="dxa"/>
            </w:tcMar>
          </w:tcPr>
          <w:p>
            <w:pPr>
              <w:spacing w:after="0"/>
            </w:pPr>
            <w:r>
              <w:rPr>
                <w:b w:val="0"/>
                <w:color w:val="0F172A"/>
                <w:sz w:val="17"/>
              </w:rPr>
              <w:t>Pre-caching de 19 recursos y fallback a /offline</w:t>
            </w:r>
          </w:p>
        </w:tc>
        <w:tc>
          <w:tcPr>
            <w:tcW w:type="dxa" w:w="1728"/>
            <w:shd w:fill="FFFFFF" w:val="clear"/>
            <w:tcMar>
              <w:top w:w="80" w:type="dxa"/>
              <w:bottom w:w="80" w:type="dxa"/>
              <w:left w:w="100" w:type="dxa"/>
              <w:right w:w="100" w:type="dxa"/>
            </w:tcMar>
          </w:tcPr>
          <w:p>
            <w:pPr>
              <w:spacing w:after="0"/>
            </w:pPr>
            <w:r>
              <w:rPr>
                <w:b/>
                <w:color w:val="10B981"/>
                <w:sz w:val="17"/>
              </w:rPr>
              <w:t>APROBADO ✅</w:t>
            </w:r>
          </w:p>
        </w:tc>
      </w:tr>
      <w:tr>
        <w:tc>
          <w:tcPr>
            <w:tcW w:type="dxa" w:w="864"/>
            <w:shd w:fill="F8FAFC" w:val="clear"/>
            <w:tcMar>
              <w:top w:w="80" w:type="dxa"/>
              <w:bottom w:w="80" w:type="dxa"/>
              <w:left w:w="100" w:type="dxa"/>
              <w:right w:w="100" w:type="dxa"/>
            </w:tcMar>
          </w:tcPr>
          <w:p>
            <w:pPr>
              <w:spacing w:after="0"/>
            </w:pPr>
            <w:r>
              <w:rPr>
                <w:b/>
                <w:color w:val="0F172A"/>
                <w:sz w:val="17"/>
              </w:rPr>
              <w:t>5</w:t>
            </w:r>
          </w:p>
        </w:tc>
        <w:tc>
          <w:tcPr>
            <w:tcW w:type="dxa" w:w="3168"/>
            <w:shd w:fill="F8FAFC" w:val="clear"/>
            <w:tcMar>
              <w:top w:w="80" w:type="dxa"/>
              <w:bottom w:w="80" w:type="dxa"/>
              <w:left w:w="100" w:type="dxa"/>
              <w:right w:w="100" w:type="dxa"/>
            </w:tcMar>
          </w:tcPr>
          <w:p>
            <w:pPr>
              <w:spacing w:after="0"/>
            </w:pPr>
            <w:r>
              <w:rPr>
                <w:b w:val="0"/>
                <w:color w:val="0F172A"/>
                <w:sz w:val="17"/>
              </w:rPr>
              <w:t>Notificaciones Push</w:t>
            </w:r>
          </w:p>
        </w:tc>
        <w:tc>
          <w:tcPr>
            <w:tcW w:type="dxa" w:w="4320"/>
            <w:shd w:fill="F8FAFC" w:val="clear"/>
            <w:tcMar>
              <w:top w:w="80" w:type="dxa"/>
              <w:bottom w:w="80" w:type="dxa"/>
              <w:left w:w="100" w:type="dxa"/>
              <w:right w:w="100" w:type="dxa"/>
            </w:tcMar>
          </w:tcPr>
          <w:p>
            <w:pPr>
              <w:spacing w:after="0"/>
            </w:pPr>
            <w:r>
              <w:rPr>
                <w:b w:val="0"/>
                <w:color w:val="0F172A"/>
                <w:sz w:val="17"/>
              </w:rPr>
              <w:t>Suscripción VAPID y recepción de alertas con vibración</w:t>
            </w:r>
          </w:p>
        </w:tc>
        <w:tc>
          <w:tcPr>
            <w:tcW w:type="dxa" w:w="1728"/>
            <w:shd w:fill="F8FAFC" w:val="clear"/>
            <w:tcMar>
              <w:top w:w="80" w:type="dxa"/>
              <w:bottom w:w="80" w:type="dxa"/>
              <w:left w:w="100" w:type="dxa"/>
              <w:right w:w="100" w:type="dxa"/>
            </w:tcMar>
          </w:tcPr>
          <w:p>
            <w:pPr>
              <w:spacing w:after="0"/>
            </w:pPr>
            <w:r>
              <w:rPr>
                <w:b/>
                <w:color w:val="10B981"/>
                <w:sz w:val="17"/>
              </w:rPr>
              <w:t>APROBADO ✅</w:t>
            </w:r>
          </w:p>
        </w:tc>
      </w:tr>
      <w:tr>
        <w:tc>
          <w:tcPr>
            <w:tcW w:type="dxa" w:w="864"/>
            <w:shd w:fill="FFFFFF" w:val="clear"/>
            <w:tcMar>
              <w:top w:w="80" w:type="dxa"/>
              <w:bottom w:w="80" w:type="dxa"/>
              <w:left w:w="100" w:type="dxa"/>
              <w:right w:w="100" w:type="dxa"/>
            </w:tcMar>
          </w:tcPr>
          <w:p>
            <w:pPr>
              <w:spacing w:after="0"/>
            </w:pPr>
            <w:r>
              <w:rPr>
                <w:b/>
                <w:color w:val="0F172A"/>
                <w:sz w:val="17"/>
              </w:rPr>
              <w:t>6</w:t>
            </w:r>
          </w:p>
        </w:tc>
        <w:tc>
          <w:tcPr>
            <w:tcW w:type="dxa" w:w="3168"/>
            <w:shd w:fill="FFFFFF" w:val="clear"/>
            <w:tcMar>
              <w:top w:w="80" w:type="dxa"/>
              <w:bottom w:w="80" w:type="dxa"/>
              <w:left w:w="100" w:type="dxa"/>
              <w:right w:w="100" w:type="dxa"/>
            </w:tcMar>
          </w:tcPr>
          <w:p>
            <w:pPr>
              <w:spacing w:after="0"/>
            </w:pPr>
            <w:r>
              <w:rPr>
                <w:b w:val="0"/>
                <w:color w:val="0F172A"/>
                <w:sz w:val="17"/>
              </w:rPr>
              <w:t>Características Nativas</w:t>
            </w:r>
          </w:p>
        </w:tc>
        <w:tc>
          <w:tcPr>
            <w:tcW w:type="dxa" w:w="4320"/>
            <w:shd w:fill="FFFFFF" w:val="clear"/>
            <w:tcMar>
              <w:top w:w="80" w:type="dxa"/>
              <w:bottom w:w="80" w:type="dxa"/>
              <w:left w:w="100" w:type="dxa"/>
              <w:right w:w="100" w:type="dxa"/>
            </w:tcMar>
          </w:tcPr>
          <w:p>
            <w:pPr>
              <w:spacing w:after="0"/>
            </w:pPr>
            <w:r>
              <w:rPr>
                <w:b w:val="0"/>
                <w:color w:val="0F172A"/>
                <w:sz w:val="17"/>
              </w:rPr>
              <w:t>GPS y Cámara operando con respeto a permisos del usuario</w:t>
            </w:r>
          </w:p>
        </w:tc>
        <w:tc>
          <w:tcPr>
            <w:tcW w:type="dxa" w:w="1728"/>
            <w:shd w:fill="FFFFFF" w:val="clear"/>
            <w:tcMar>
              <w:top w:w="80" w:type="dxa"/>
              <w:bottom w:w="80" w:type="dxa"/>
              <w:left w:w="100" w:type="dxa"/>
              <w:right w:w="100" w:type="dxa"/>
            </w:tcMar>
          </w:tcPr>
          <w:p>
            <w:pPr>
              <w:spacing w:after="0"/>
            </w:pPr>
            <w:r>
              <w:rPr>
                <w:b/>
                <w:color w:val="10B981"/>
                <w:sz w:val="17"/>
              </w:rPr>
              <w:t>APROBADO ✅</w:t>
            </w:r>
          </w:p>
        </w:tc>
      </w:tr>
      <w:tr>
        <w:tc>
          <w:tcPr>
            <w:tcW w:type="dxa" w:w="864"/>
            <w:shd w:fill="F8FAFC" w:val="clear"/>
            <w:tcMar>
              <w:top w:w="80" w:type="dxa"/>
              <w:bottom w:w="80" w:type="dxa"/>
              <w:left w:w="100" w:type="dxa"/>
              <w:right w:w="100" w:type="dxa"/>
            </w:tcMar>
          </w:tcPr>
          <w:p>
            <w:pPr>
              <w:spacing w:after="0"/>
            </w:pPr>
            <w:r>
              <w:rPr>
                <w:b/>
                <w:color w:val="0F172A"/>
                <w:sz w:val="17"/>
              </w:rPr>
              <w:t>7</w:t>
            </w:r>
          </w:p>
        </w:tc>
        <w:tc>
          <w:tcPr>
            <w:tcW w:type="dxa" w:w="3168"/>
            <w:shd w:fill="F8FAFC" w:val="clear"/>
            <w:tcMar>
              <w:top w:w="80" w:type="dxa"/>
              <w:bottom w:w="80" w:type="dxa"/>
              <w:left w:w="100" w:type="dxa"/>
              <w:right w:w="100" w:type="dxa"/>
            </w:tcMar>
          </w:tcPr>
          <w:p>
            <w:pPr>
              <w:spacing w:after="0"/>
            </w:pPr>
            <w:r>
              <w:rPr>
                <w:b w:val="0"/>
                <w:color w:val="0F172A"/>
                <w:sz w:val="17"/>
              </w:rPr>
              <w:t>Hosting Local &amp; HTTPS</w:t>
            </w:r>
          </w:p>
        </w:tc>
        <w:tc>
          <w:tcPr>
            <w:tcW w:type="dxa" w:w="4320"/>
            <w:shd w:fill="F8FAFC" w:val="clear"/>
            <w:tcMar>
              <w:top w:w="80" w:type="dxa"/>
              <w:bottom w:w="80" w:type="dxa"/>
              <w:left w:w="100" w:type="dxa"/>
              <w:right w:w="100" w:type="dxa"/>
            </w:tcMar>
          </w:tcPr>
          <w:p>
            <w:pPr>
              <w:spacing w:after="0"/>
            </w:pPr>
            <w:r>
              <w:rPr>
                <w:b w:val="0"/>
                <w:color w:val="0F172A"/>
                <w:sz w:val="17"/>
              </w:rPr>
              <w:t>Operación bajo W3C Secure Context y certificados SSL</w:t>
            </w:r>
          </w:p>
        </w:tc>
        <w:tc>
          <w:tcPr>
            <w:tcW w:type="dxa" w:w="1728"/>
            <w:shd w:fill="F8FAFC" w:val="clear"/>
            <w:tcMar>
              <w:top w:w="80" w:type="dxa"/>
              <w:bottom w:w="80" w:type="dxa"/>
              <w:left w:w="100" w:type="dxa"/>
              <w:right w:w="100" w:type="dxa"/>
            </w:tcMar>
          </w:tcPr>
          <w:p>
            <w:pPr>
              <w:spacing w:after="0"/>
            </w:pPr>
            <w:r>
              <w:rPr>
                <w:b/>
                <w:color w:val="10B981"/>
                <w:sz w:val="17"/>
              </w:rPr>
              <w:t>APROBADO ✅</w:t>
            </w:r>
          </w:p>
        </w:tc>
      </w:tr>
    </w:tbl>
    <w:p>
      <w:r>
        <w:br w:type="page"/>
      </w:r>
    </w:p>
    <w:p>
      <w:pPr>
        <w:pStyle w:val="Heading1"/>
        <w:spacing w:before="280" w:after="120"/>
      </w:pPr>
      <w:r>
        <w:rPr>
          <w:color w:val="0F172A"/>
        </w:rPr>
        <w:t>5. Código Fuente y Entrega en Repositorio</w:t>
      </w:r>
    </w:p>
    <w:p>
      <w:pPr>
        <w:spacing w:after="120" w:line="276" w:lineRule="auto"/>
        <w:jc w:val="left"/>
      </w:pPr>
      <w:r>
        <w:rPr>
          <w:b w:val="0"/>
          <w:i w:val="0"/>
          <w:sz w:val="20"/>
        </w:rPr>
        <w:t>La totalidad del código fuente, plantillas, manifiestos, scripts de Service Worker y estilos del sistema HealthVault se encuentran alojados en el repositorio oficial de GitHub:</w:t>
      </w:r>
    </w:p>
    <w:tbl>
      <w:tblPr>
        <w:tblW w:type="auto" w:w="0"/>
        <w:jc w:val="center"/>
        <w:tblLook w:firstColumn="1" w:firstRow="1" w:lastColumn="0" w:lastRow="0" w:noHBand="0" w:noVBand="1" w:val="04A0"/>
      </w:tblPr>
      <w:tblGrid>
        <w:gridCol w:w="9648"/>
      </w:tblGrid>
      <w:tr>
        <w:tc>
          <w:tcPr>
            <w:tcW w:type="dxa" w:w="9648"/>
            <w:shd w:fill="ECFDF5" w:val="clear"/>
            <w:tcMar>
              <w:top w:w="140" w:type="dxa"/>
              <w:bottom w:w="140" w:type="dxa"/>
              <w:left w:w="200" w:type="dxa"/>
              <w:right w:w="200" w:type="dxa"/>
            </w:tcMar>
            <w:tcBorders>
              <w:left w:val="single" w:sz="24" w:space="0" w:color="10B981"/>
              <w:top w:val="none"/>
              <w:bottom w:val="none"/>
              <w:right w:val="none"/>
            </w:tcBorders>
          </w:tcPr>
          <w:p>
            <w:pPr>
              <w:spacing w:after="80"/>
            </w:pPr>
            <w:r>
              <w:rPr>
                <w:b/>
                <w:color w:val="0EA5E9"/>
                <w:sz w:val="19"/>
              </w:rPr>
              <w:t xml:space="preserve">📌 ENLACE DE ENTREGA: </w:t>
            </w:r>
            <w:r>
              <w:rPr>
                <w:color w:val="1E293B"/>
                <w:sz w:val="19"/>
              </w:rPr>
              <w:t>Repositorio Oficial en GitHub:</w:t>
              <w:br/>
              <w:t>https://github.com/gdan04193-pixel/SISTEMA-CLINICO-CITAS.git</w:t>
              <w:br/>
              <w:br/>
              <w:t>Rama principal: main | Despliegue Local: http://127.0.0.1:5000</w:t>
            </w:r>
          </w:p>
        </w:tc>
      </w:tr>
    </w:tbl>
    <w:p>
      <w:pPr>
        <w:spacing w:after="80"/>
      </w:pPr>
    </w:p>
    <w:p>
      <w:pPr>
        <w:pStyle w:val="Heading2"/>
        <w:spacing w:before="280" w:after="120"/>
      </w:pPr>
      <w:r>
        <w:rPr>
          <w:color w:val="1E293B"/>
        </w:rPr>
        <w:t>5.1 Estructura del Árbol de Archivos PWA</w:t>
      </w:r>
    </w:p>
    <w:p>
      <w:pPr>
        <w:spacing w:before="160" w:after="40"/>
      </w:pPr>
      <w:r>
        <w:rPr>
          <w:b/>
          <w:color w:val="0EA5E9"/>
          <w:sz w:val="18"/>
        </w:rPr>
        <w:t>💻 Árbol de Directorios del Repositorio HealthVault</w:t>
      </w:r>
    </w:p>
    <w:p>
      <w:pPr>
        <w:spacing w:after="120" w:line="252" w:lineRule="auto"/>
        <w:ind w:left="283"/>
        <w:shd w:fill="0F172A" w:val="clear"/>
      </w:pPr>
      <w:r>
        <w:rPr>
          <w:rFonts w:ascii="Courier New" w:hAnsi="Courier New"/>
          <w:color w:val="22C55E"/>
          <w:sz w:val="16"/>
        </w:rPr>
        <w:t>SISTEMA-CLINICO-CITAS/</w:t>
        <w:br/>
        <w:t>├── app.py                 # Backend Flask: rutas SSR, API Push, /sw.js, /manifest.json, /offline</w:t>
        <w:br/>
        <w:t>├── models.py              # Modelos SQLAlchemy: User, Document, AuditLog</w:t>
        <w:br/>
        <w:t>├── requirements.txt       # Dependencias: Flask, pywebpush, cryptography, python-docx</w:t>
        <w:br/>
        <w:t>├── Dockerfile             # Configuración Docker para despliegue en contenedor</w:t>
        <w:br/>
        <w:t>├── docker-compose.yml     # Orquestación local: Web + PostgreSQL + Nginx + Certbot</w:t>
        <w:br/>
        <w:t>├── certs/                 # Certificados SSL X.509 generados localmente (cert.pem, key.pem)</w:t>
        <w:br/>
        <w:t>├── nginx/</w:t>
        <w:br/>
        <w:t>│   └── default.conf       # Configuración Nginx con proxy inverso y terminación SSL (puerto 443)</w:t>
        <w:br/>
        <w:t>├── static/</w:t>
        <w:br/>
        <w:t>│   ├── sw.js              # Service Worker Principal (Pre-caching, Cache-First, Push, Offline)</w:t>
        <w:br/>
        <w:t>│   ├── manifest.json      # Metadatos del Manifiesto PWA (Standalone, theme, shortcuts)</w:t>
        <w:br/>
        <w:t>│   ├── logo.png           # Imagotipo médico base en alta resolución</w:t>
        <w:br/>
        <w:t>│   ├── icons/             # 8 resoluciones PWA (72x72, 96x96, ..., 512x512 maskable)</w:t>
        <w:br/>
        <w:t>│   ├── css/</w:t>
        <w:br/>
        <w:t>│   │   ├── main.css       # Estilos globales y App Shell (banners offline e instalador)</w:t>
        <w:br/>
        <w:t>│   │   └── pwa.css        # Estilos visuales del panel PWA y tarjetas de hardware</w:t>
        <w:br/>
        <w:t>│   └── js/</w:t>
        <w:br/>
        <w:t>│       ├── main.js        # Lógica general del frontend</w:t>
        <w:br/>
        <w:t>│       └── pwa.js         # Módulo PWA: Push VAPID, Cámara, GPS y auditor de CacheStorage</w:t>
        <w:br/>
        <w:t>└── templates/</w:t>
        <w:br/>
        <w:t xml:space="preserve">    ├── base.html          # App Shell con registro de SW y captura beforeinstallprompt</w:t>
        <w:br/>
        <w:t xml:space="preserve">    ├── dashboard.html     # Vista SSR de expedientes clínicos con control de acceso RBAC</w:t>
        <w:br/>
        <w:t xml:space="preserve">    ├── login.html         # Vista SSR de inicio de sesión con tokens CSRF</w:t>
        <w:br/>
        <w:t xml:space="preserve">    ├── offline.html       # Pantalla de fallback cuando no hay conexión de red</w:t>
        <w:br/>
        <w:t xml:space="preserve">    └── pwa_features.html  # Consola interactiva de validación PWA (Prácticas 2.1 y 2.2)</w:t>
      </w:r>
    </w:p>
    <w:p>
      <w:pPr>
        <w:pStyle w:val="Heading2"/>
        <w:spacing w:before="280" w:after="120"/>
      </w:pPr>
      <w:r>
        <w:rPr>
          <w:color w:val="1E293B"/>
        </w:rPr>
        <w:t>5.2 Instrucciones de Arranque y Ejecución Local</w:t>
      </w:r>
    </w:p>
    <w:p>
      <w:pPr>
        <w:spacing w:after="120" w:line="276" w:lineRule="auto"/>
        <w:jc w:val="left"/>
      </w:pPr>
      <w:r>
        <w:rPr>
          <w:b w:val="0"/>
          <w:i w:val="0"/>
          <w:sz w:val="20"/>
        </w:rPr>
        <w:t>Para replicar y verificar el funcionamiento de la PWA completa en un equipo de desarrollo, ejecute los siguientes comandos en PowerShell o Terminal:</w:t>
      </w:r>
    </w:p>
    <w:p>
      <w:pPr>
        <w:spacing w:before="160" w:after="40"/>
      </w:pPr>
      <w:r>
        <w:rPr>
          <w:b/>
          <w:color w:val="0EA5E9"/>
          <w:sz w:val="18"/>
        </w:rPr>
        <w:t>💻 Guía Rápida de Despliegue Local</w:t>
      </w:r>
    </w:p>
    <w:p>
      <w:pPr>
        <w:spacing w:after="120" w:line="252" w:lineRule="auto"/>
        <w:ind w:left="283"/>
        <w:shd w:fill="0F172A" w:val="clear"/>
      </w:pPr>
      <w:r>
        <w:rPr>
          <w:rFonts w:ascii="Courier New" w:hAnsi="Courier New"/>
          <w:color w:val="22C55E"/>
          <w:sz w:val="16"/>
        </w:rPr>
        <w:t># 1. Clonar el repositorio</w:t>
        <w:br/>
        <w:t>git clone https://github.com/gdan04193-pixel/SISTEMA-CLINICO-CITAS.git</w:t>
        <w:br/>
        <w:t>cd SISTEMA-CLINICO-CITAS</w:t>
        <w:br/>
        <w:br/>
        <w:t># 2. Crear y activar entorno virtual</w:t>
        <w:br/>
        <w:t>python -m venv venv</w:t>
        <w:br/>
        <w:t>.\venv\Scripts\activate   # En Windows</w:t>
        <w:br/>
        <w:t># source venv/bin/activate # En Linux/macOS</w:t>
        <w:br/>
        <w:br/>
        <w:t># 3. Instalar dependencias requeridas</w:t>
        <w:br/>
        <w:t>pip install -r requirements.txt</w:t>
        <w:br/>
        <w:br/>
        <w:t># 4. Iniciar la aplicación PWA en modo Seguro Localhost (W3C Secure Context)</w:t>
        <w:br/>
        <w:t>python app.py</w:t>
        <w:br/>
        <w:br/>
        <w:t># 5. Abrir en el navegador:</w:t>
        <w:br/>
        <w:t># http://127.0.0.1:5000 o https://127.0.0.1:5000 (con USE_HTTPS=true)</w:t>
        <w:br/>
        <w:t># Credenciales de prueba: Usuario: admin_sys | Contraseña: Admin123!</w:t>
      </w:r>
    </w:p>
    <w:p>
      <w:pPr>
        <w:pStyle w:val="Heading1"/>
        <w:spacing w:before="280" w:after="120"/>
      </w:pPr>
      <w:r>
        <w:rPr>
          <w:color w:val="0F172A"/>
        </w:rPr>
        <w:t>6. Conclusiones y Referencias</w:t>
      </w:r>
    </w:p>
    <w:p>
      <w:pPr>
        <w:spacing w:after="120" w:line="276" w:lineRule="auto"/>
        <w:jc w:val="left"/>
      </w:pPr>
      <w:r>
        <w:rPr>
          <w:b w:val="0"/>
          <w:i w:val="0"/>
          <w:sz w:val="20"/>
        </w:rPr>
        <w:t>La integración y publicación local de la Progressive Web App HealthVault demuestra que la tecnología web contemporánea ha alcanzado la paridad funcional con el software nativo para plataformas móviles y de escritorio. Al combinar el estándar W3C de Secure Contexts en entorno local con una arquitectura App Shell bien definida, fue posible construir una solución de grado médico capaz de ofrecer resiliencia total ante pérdidas de red, comunicación push en segundo plano y captura biométrica/geográfica con estrictos controles de consentimiento del usuario.</w:t>
      </w:r>
    </w:p>
    <w:p>
      <w:pPr>
        <w:spacing w:after="120" w:line="276" w:lineRule="auto"/>
        <w:jc w:val="left"/>
      </w:pPr>
      <w:r>
        <w:rPr>
          <w:b w:val="0"/>
          <w:i w:val="0"/>
          <w:sz w:val="20"/>
        </w:rPr>
        <w:t>La decisión de alojar la solución en un entorno local y autónomo bajo HTTPS aporta un valor sustancial en términos de soberanía de datos y cumplimiento regulatorio hospitalario, demostrando que no es indispensable exponer expedientes clínicos a servidores públicos en la nube para disfrutar de los beneficios de instalabilidad, rendimiento y sincronización diferida que caracterizan a las PWAs.</w:t>
      </w:r>
    </w:p>
    <w:p>
      <w:pPr>
        <w:pStyle w:val="Heading2"/>
        <w:spacing w:before="280" w:after="120"/>
      </w:pPr>
      <w:r>
        <w:rPr>
          <w:color w:val="1E293B"/>
        </w:rPr>
        <w:t>Referencias Bibliográficas</w:t>
      </w:r>
    </w:p>
    <w:p>
      <w:pPr>
        <w:spacing w:after="80"/>
        <w:ind w:left="340"/>
      </w:pPr>
      <w:r>
        <w:rPr>
          <w:color w:val="475569"/>
          <w:sz w:val="17"/>
        </w:rPr>
        <w:t>[1] W3C (World Wide Web Consortium). 'Secure Contexts Specification'. W3C Candidate Recommendation, 2021. Disponible en: https://www.w3.org/TR/secure-contexts/</w:t>
      </w:r>
    </w:p>
    <w:p>
      <w:pPr>
        <w:spacing w:after="80"/>
        <w:ind w:left="340"/>
      </w:pPr>
      <w:r>
        <w:rPr>
          <w:color w:val="475569"/>
          <w:sz w:val="17"/>
        </w:rPr>
        <w:t>[2] W3C &amp; WHATWG. 'Service Workers 1'. W3C Working Draft, 2022. Disponible en: https://www.w3.org/TR/service-workers/</w:t>
      </w:r>
    </w:p>
    <w:p>
      <w:pPr>
        <w:spacing w:after="80"/>
        <w:ind w:left="340"/>
      </w:pPr>
      <w:r>
        <w:rPr>
          <w:color w:val="475569"/>
          <w:sz w:val="17"/>
        </w:rPr>
        <w:t>[3] Google Chrome Developers. 'Progressive Web Apps Overview &amp; Best Practices'. Web.dev, 2023. Disponible en: https://web.dev/explore/progressive-web-apps</w:t>
      </w:r>
    </w:p>
    <w:p>
      <w:pPr>
        <w:spacing w:after="80"/>
        <w:ind w:left="340"/>
      </w:pPr>
      <w:r>
        <w:rPr>
          <w:color w:val="475569"/>
          <w:sz w:val="17"/>
        </w:rPr>
        <w:t>[4] Mozilla Developer Network (MDN). 'Web App Manifest &amp; Push API Documentation'. MDN Web Docs, 2024. Disponible en: https://developer.mozilla.org/es/docs/Web/Progressive_web_apps</w:t>
      </w:r>
    </w:p>
    <w:p>
      <w:pPr>
        <w:spacing w:after="80"/>
        <w:ind w:left="340"/>
      </w:pPr>
      <w:r>
        <w:rPr>
          <w:color w:val="475569"/>
          <w:sz w:val="17"/>
        </w:rPr>
        <w:t>[5] IETF. 'Voluntary Application Server Identification (VAPID) for Web Push'. RFC 8292, 2017. Disponible en: https://datatracker.ietf.org/doc/html/rfc8292</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