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8217" w14:textId="7A9DABE7" w:rsidR="00E51C63" w:rsidRPr="006A4415" w:rsidRDefault="00F56395" w:rsidP="006A4415">
      <w:pPr>
        <w:rPr>
          <w:b/>
        </w:rPr>
      </w:pPr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40633852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>of related work, as it relates to background, significance, the methodology, similar studies, and supportive or contradictory findings.</w:t>
      </w:r>
    </w:p>
    <w:p w14:paraId="2542A734" w14:textId="77777777" w:rsidR="004B295C" w:rsidRPr="006A4415" w:rsidRDefault="004B295C" w:rsidP="006A4415"/>
    <w:p w14:paraId="20DBB4A0" w14:textId="38764219" w:rsidR="00B12E5F" w:rsidRPr="006A4415" w:rsidRDefault="00192534" w:rsidP="006A4415">
      <w:r w:rsidRPr="00192534">
        <w:t xml:space="preserve">Assignment: </w:t>
      </w:r>
      <w:r w:rsidR="009B1CE9">
        <w:t xml:space="preserve">for each </w:t>
      </w:r>
      <w:r w:rsidRPr="00192534">
        <w:t xml:space="preserve">listed reference, explain </w:t>
      </w:r>
      <w:r w:rsidRPr="00192534">
        <w:rPr>
          <w:i/>
        </w:rPr>
        <w:t>why</w:t>
      </w:r>
      <w:r w:rsidRPr="00192534">
        <w:t xml:space="preserve"> the reference is cited</w:t>
      </w:r>
      <w:r w:rsidR="008C60D4">
        <w:t xml:space="preserve"> in the article</w:t>
      </w:r>
      <w:r w:rsidR="008D4F46">
        <w:t>. Does it relate to the background, significance, or methodology? Does it describe related work? Why is this related work included?</w:t>
      </w:r>
    </w:p>
    <w:p w14:paraId="604E578C" w14:textId="10C52D26" w:rsidR="00C74DB1" w:rsidRDefault="00C74DB1" w:rsidP="007236F2">
      <w:bookmarkStart w:id="0" w:name="_GoBack"/>
      <w:bookmarkEnd w:id="0"/>
    </w:p>
    <w:p w14:paraId="3D5E5E19" w14:textId="221B6A2E" w:rsidR="00C74DB1" w:rsidRDefault="00FC3115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FC3115">
        <w:rPr>
          <w:rFonts w:ascii="Times New Roman" w:hAnsi="Times New Roman"/>
          <w:b/>
          <w:sz w:val="24"/>
          <w:szCs w:val="24"/>
        </w:rPr>
        <w:t xml:space="preserve">CA Evacuation article - </w:t>
      </w:r>
      <w:hyperlink r:id="rId8" w:history="1">
        <w:r w:rsidRPr="00FC31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https://gdancik.github.io/CSC-450/data/hw/Varas_CA_model_evacuation.pdf</w:t>
        </w:r>
      </w:hyperlink>
    </w:p>
    <w:p w14:paraId="63707BB8" w14:textId="77777777" w:rsidR="00C434C0" w:rsidRDefault="00C434C0" w:rsidP="00C434C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6B2C9BE4" w14:textId="04EF17CB" w:rsidR="00C434C0" w:rsidRPr="00823998" w:rsidRDefault="00C434C0" w:rsidP="00C434C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823998">
        <w:rPr>
          <w:rFonts w:ascii="Times New Roman" w:hAnsi="Times New Roman"/>
          <w:sz w:val="24"/>
          <w:szCs w:val="24"/>
        </w:rPr>
        <w:t xml:space="preserve">[13] M. </w:t>
      </w:r>
      <w:proofErr w:type="spellStart"/>
      <w:r w:rsidRPr="00823998">
        <w:rPr>
          <w:rFonts w:ascii="Times New Roman" w:hAnsi="Times New Roman"/>
          <w:sz w:val="24"/>
          <w:szCs w:val="24"/>
        </w:rPr>
        <w:t>Isobe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D. Helbing, T. </w:t>
      </w:r>
      <w:proofErr w:type="spellStart"/>
      <w:r w:rsidRPr="00823998">
        <w:rPr>
          <w:rFonts w:ascii="Times New Roman" w:hAnsi="Times New Roman"/>
          <w:sz w:val="24"/>
          <w:szCs w:val="24"/>
        </w:rPr>
        <w:t>Nagatani</w:t>
      </w:r>
      <w:proofErr w:type="spellEnd"/>
      <w:r w:rsidRPr="00823998">
        <w:rPr>
          <w:rFonts w:ascii="Times New Roman" w:hAnsi="Times New Roman"/>
          <w:sz w:val="24"/>
          <w:szCs w:val="24"/>
        </w:rPr>
        <w:t>, Experiment, theory, and simulation of the evacuation of a room without visibility, Phys. Rev. E 69 (2004) 066132. (Cited in the Introduction)</w:t>
      </w:r>
    </w:p>
    <w:p w14:paraId="5E67DE71" w14:textId="77777777" w:rsidR="00C434C0" w:rsidRPr="00823998" w:rsidRDefault="00C434C0" w:rsidP="00C434C0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9B489BD" w14:textId="5A75EF9E" w:rsidR="0015471F" w:rsidRPr="00823998" w:rsidRDefault="0015471F" w:rsidP="0015471F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823998">
        <w:rPr>
          <w:rFonts w:ascii="Times New Roman" w:hAnsi="Times New Roman"/>
          <w:sz w:val="24"/>
          <w:szCs w:val="24"/>
        </w:rPr>
        <w:t xml:space="preserve">[19] D. Helbing, M. </w:t>
      </w:r>
      <w:proofErr w:type="spellStart"/>
      <w:r w:rsidRPr="00823998">
        <w:rPr>
          <w:rFonts w:ascii="Times New Roman" w:hAnsi="Times New Roman"/>
          <w:sz w:val="24"/>
          <w:szCs w:val="24"/>
        </w:rPr>
        <w:t>Isobe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T. </w:t>
      </w:r>
      <w:proofErr w:type="spellStart"/>
      <w:r w:rsidRPr="00823998">
        <w:rPr>
          <w:rFonts w:ascii="Times New Roman" w:hAnsi="Times New Roman"/>
          <w:sz w:val="24"/>
          <w:szCs w:val="24"/>
        </w:rPr>
        <w:t>Nagatani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K. </w:t>
      </w:r>
      <w:proofErr w:type="spellStart"/>
      <w:r w:rsidRPr="00823998">
        <w:rPr>
          <w:rFonts w:ascii="Times New Roman" w:hAnsi="Times New Roman"/>
          <w:sz w:val="24"/>
          <w:szCs w:val="24"/>
        </w:rPr>
        <w:t>Takimoto</w:t>
      </w:r>
      <w:proofErr w:type="spellEnd"/>
      <w:r w:rsidRPr="00823998">
        <w:rPr>
          <w:rFonts w:ascii="Times New Roman" w:hAnsi="Times New Roman"/>
          <w:sz w:val="24"/>
          <w:szCs w:val="24"/>
        </w:rPr>
        <w:t>, Lattice gas simulation of experimentally studied evacuation dynamics, Phys. Rev. E 67 (2003) 067101. (Cited in the Introduction)</w:t>
      </w:r>
    </w:p>
    <w:p w14:paraId="5068A5FC" w14:textId="77777777" w:rsidR="0015471F" w:rsidRPr="00823998" w:rsidRDefault="0015471F" w:rsidP="0015471F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0FD1F166" w14:textId="76A215BE" w:rsidR="00823998" w:rsidRDefault="00823998" w:rsidP="00823998">
      <w:pPr>
        <w:pStyle w:val="ListParagraph"/>
        <w:numPr>
          <w:ilvl w:val="1"/>
          <w:numId w:val="8"/>
        </w:numPr>
      </w:pPr>
      <w:r w:rsidRPr="00823998">
        <w:t xml:space="preserve">[21] Z. </w:t>
      </w:r>
      <w:proofErr w:type="spellStart"/>
      <w:r w:rsidRPr="00823998">
        <w:t>Daoliang</w:t>
      </w:r>
      <w:proofErr w:type="spellEnd"/>
      <w:r w:rsidRPr="00823998">
        <w:t xml:space="preserve">, Y. </w:t>
      </w:r>
      <w:proofErr w:type="spellStart"/>
      <w:r w:rsidRPr="00823998">
        <w:t>Lizhong</w:t>
      </w:r>
      <w:proofErr w:type="spellEnd"/>
      <w:r w:rsidRPr="00823998">
        <w:t xml:space="preserve">, L. Jian, Exit dynamics of occupant evacuation in an emergency, </w:t>
      </w:r>
      <w:proofErr w:type="spellStart"/>
      <w:r w:rsidRPr="00823998">
        <w:t>Physica</w:t>
      </w:r>
      <w:proofErr w:type="spellEnd"/>
      <w:r w:rsidRPr="00823998">
        <w:t xml:space="preserve"> A 363 (2005) 501–511. (Cited in the Introduction and the first sentence of the Summary)</w:t>
      </w:r>
    </w:p>
    <w:p w14:paraId="79765E0E" w14:textId="77777777" w:rsidR="00823998" w:rsidRPr="00BD3F01" w:rsidRDefault="00823998" w:rsidP="00BD3F01"/>
    <w:p w14:paraId="37BDA721" w14:textId="48E41EB1" w:rsidR="001060C8" w:rsidRPr="00BD3F01" w:rsidRDefault="001060C8" w:rsidP="001060C8">
      <w:pPr>
        <w:pStyle w:val="ListParagraph"/>
        <w:numPr>
          <w:ilvl w:val="1"/>
          <w:numId w:val="8"/>
        </w:numPr>
      </w:pPr>
      <w:r w:rsidRPr="00BD3F01">
        <w:t xml:space="preserve">[5] C. </w:t>
      </w:r>
      <w:proofErr w:type="spellStart"/>
      <w:r w:rsidRPr="00BD3F01">
        <w:t>Burstedde</w:t>
      </w:r>
      <w:proofErr w:type="spellEnd"/>
      <w:r w:rsidRPr="00BD3F01">
        <w:t xml:space="preserve">, K. </w:t>
      </w:r>
      <w:proofErr w:type="spellStart"/>
      <w:r w:rsidRPr="00BD3F01">
        <w:t>Klauck</w:t>
      </w:r>
      <w:proofErr w:type="spellEnd"/>
      <w:r w:rsidRPr="00BD3F01">
        <w:t xml:space="preserve">, A. </w:t>
      </w:r>
      <w:proofErr w:type="spellStart"/>
      <w:r w:rsidRPr="00BD3F01">
        <w:t>Schadschneider</w:t>
      </w:r>
      <w:proofErr w:type="spellEnd"/>
      <w:r w:rsidRPr="00BD3F01">
        <w:t xml:space="preserve">, J. </w:t>
      </w:r>
      <w:proofErr w:type="spellStart"/>
      <w:r w:rsidRPr="00BD3F01">
        <w:t>Zittartz</w:t>
      </w:r>
      <w:proofErr w:type="spellEnd"/>
      <w:r w:rsidRPr="00BD3F01">
        <w:t xml:space="preserve">, Simulation of pedestrian dynamics using a two-dimensional cellular automaton, </w:t>
      </w:r>
      <w:proofErr w:type="spellStart"/>
      <w:r w:rsidRPr="00BD3F01">
        <w:t>Physica</w:t>
      </w:r>
      <w:proofErr w:type="spellEnd"/>
      <w:r w:rsidRPr="00BD3F01">
        <w:t xml:space="preserve"> A 295 (2001) 507–525. (Cited in the summary, </w:t>
      </w:r>
      <w:proofErr w:type="spellStart"/>
      <w:r w:rsidRPr="00BD3F01">
        <w:t>pg</w:t>
      </w:r>
      <w:proofErr w:type="spellEnd"/>
      <w:r w:rsidRPr="00BD3F01">
        <w:t xml:space="preserve"> 640).</w:t>
      </w:r>
    </w:p>
    <w:p w14:paraId="727A49F5" w14:textId="77777777" w:rsidR="001060C8" w:rsidRPr="00BD3F01" w:rsidRDefault="001060C8" w:rsidP="001060C8">
      <w:pPr>
        <w:ind w:left="1080"/>
      </w:pPr>
    </w:p>
    <w:p w14:paraId="7F046BE8" w14:textId="0D1D910B" w:rsidR="00BD3F01" w:rsidRPr="00BD3F01" w:rsidRDefault="00BD3F01" w:rsidP="00BD3F01">
      <w:pPr>
        <w:pStyle w:val="ListParagraph"/>
        <w:numPr>
          <w:ilvl w:val="1"/>
          <w:numId w:val="8"/>
        </w:numPr>
      </w:pPr>
      <w:r w:rsidRPr="00BD3F01">
        <w:t xml:space="preserve">[18] L.Z. Yang, D. Zhao, J. Li, T.Y. Fang, Simulation of the kin behavior in building occupant evacuation based on cellular automaton, Build. Environ. 40 (2005) 411–415. (Cited in the summary, </w:t>
      </w:r>
      <w:proofErr w:type="spellStart"/>
      <w:r w:rsidRPr="00BD3F01">
        <w:t>pg</w:t>
      </w:r>
      <w:proofErr w:type="spellEnd"/>
      <w:r w:rsidRPr="00BD3F01">
        <w:t xml:space="preserve"> 641)</w:t>
      </w:r>
    </w:p>
    <w:p w14:paraId="0B1746BB" w14:textId="77777777" w:rsidR="00C434C0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631FC81" w14:textId="77777777" w:rsidR="00C434C0" w:rsidRPr="00FC3115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2FD2BB81" w:rsidR="00D846CD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 w:rsidR="00D846CD" w:rsidRPr="006A4415">
        <w:rPr>
          <w:rFonts w:ascii="Times New Roman" w:hAnsi="Times New Roman"/>
          <w:sz w:val="24"/>
          <w:szCs w:val="24"/>
        </w:rPr>
        <w:t xml:space="preserve"> Fowler JH, Christakis NA (2008) Dynamic spread of happiness in a large social network: Longitudinal analysis over 20 years in the Framingham Heart Study. BMJ 337:a2338. </w:t>
      </w:r>
      <w:r w:rsidR="00157C7E">
        <w:rPr>
          <w:rFonts w:ascii="Times New Roman" w:hAnsi="Times New Roman"/>
          <w:sz w:val="24"/>
          <w:szCs w:val="24"/>
        </w:rPr>
        <w:t>(</w:t>
      </w:r>
      <w:r w:rsidR="00157C7E" w:rsidRPr="00157C7E">
        <w:rPr>
          <w:rFonts w:ascii="Times New Roman" w:hAnsi="Times New Roman"/>
          <w:i/>
          <w:sz w:val="24"/>
          <w:szCs w:val="24"/>
        </w:rPr>
        <w:t>Cited twice in the first 2 paragraphs</w:t>
      </w:r>
      <w:r w:rsidR="00157C7E">
        <w:rPr>
          <w:rFonts w:ascii="Times New Roman" w:hAnsi="Times New Roman"/>
          <w:sz w:val="24"/>
          <w:szCs w:val="24"/>
        </w:rPr>
        <w:t>)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7DD777FB" w:rsidR="00125B81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 w:rsidR="00D846CD" w:rsidRPr="006A4415">
        <w:rPr>
          <w:rFonts w:ascii="Times New Roman" w:hAnsi="Times New Roman"/>
          <w:sz w:val="24"/>
          <w:szCs w:val="24"/>
        </w:rPr>
        <w:t xml:space="preserve"> Pennebaker JW, Chung CK, Ireland M, Gonzales A, Booth RJ (2007) The development and psychological properties of LIWC2007. Available at http://liwc.net/howliwcworks. </w:t>
      </w:r>
      <w:proofErr w:type="spellStart"/>
      <w:r w:rsidR="00D846CD" w:rsidRPr="006A4415">
        <w:rPr>
          <w:rFonts w:ascii="Times New Roman" w:hAnsi="Times New Roman"/>
          <w:sz w:val="24"/>
          <w:szCs w:val="24"/>
        </w:rPr>
        <w:t>php</w:t>
      </w:r>
      <w:proofErr w:type="spellEnd"/>
      <w:r w:rsidR="00D846CD" w:rsidRPr="006A4415">
        <w:rPr>
          <w:rFonts w:ascii="Times New Roman" w:hAnsi="Times New Roman"/>
          <w:sz w:val="24"/>
          <w:szCs w:val="24"/>
        </w:rPr>
        <w:t>. Accessed May 10, 2014.</w:t>
      </w:r>
      <w:r w:rsidR="00C87D59">
        <w:rPr>
          <w:rFonts w:ascii="Times New Roman" w:hAnsi="Times New Roman"/>
          <w:sz w:val="24"/>
          <w:szCs w:val="24"/>
        </w:rPr>
        <w:t xml:space="preserve"> (</w:t>
      </w:r>
      <w:r w:rsidR="00C87D59" w:rsidRPr="00C87D59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C87D59" w:rsidRPr="00C87D59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C87D59" w:rsidRPr="00C87D59">
        <w:rPr>
          <w:rFonts w:ascii="Times New Roman" w:hAnsi="Times New Roman"/>
          <w:i/>
          <w:sz w:val="24"/>
          <w:szCs w:val="24"/>
        </w:rPr>
        <w:t xml:space="preserve"> 8789</w:t>
      </w:r>
      <w:r w:rsidR="00C87D59">
        <w:rPr>
          <w:rFonts w:ascii="Times New Roman" w:hAnsi="Times New Roman"/>
          <w:sz w:val="24"/>
          <w:szCs w:val="24"/>
        </w:rPr>
        <w:t>)</w:t>
      </w:r>
      <w:r w:rsidR="00D846CD" w:rsidRPr="006A4415">
        <w:rPr>
          <w:rFonts w:ascii="Times New Roman" w:hAnsi="Times New Roman"/>
          <w:sz w:val="24"/>
          <w:szCs w:val="24"/>
        </w:rPr>
        <w:t xml:space="preserve">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62873090" w:rsidR="009F73FD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 w:rsidR="00D846CD" w:rsidRPr="006A4415">
        <w:rPr>
          <w:rFonts w:ascii="Times New Roman" w:hAnsi="Times New Roman"/>
          <w:sz w:val="24"/>
          <w:szCs w:val="24"/>
        </w:rPr>
        <w:t xml:space="preserve"> Golder SA, Macy MW (2011) Diurnal and seasonal mood vary with work, sleep, and daylength across diverse cultures. Science 333(6051):1878–1881. </w:t>
      </w:r>
      <w:r w:rsidR="00252E24">
        <w:rPr>
          <w:rFonts w:ascii="Times New Roman" w:hAnsi="Times New Roman"/>
          <w:sz w:val="24"/>
          <w:szCs w:val="24"/>
        </w:rPr>
        <w:t>(</w:t>
      </w:r>
      <w:r w:rsidR="00252E24" w:rsidRPr="00252E24">
        <w:rPr>
          <w:rFonts w:ascii="Times New Roman" w:hAnsi="Times New Roman"/>
          <w:i/>
          <w:sz w:val="24"/>
          <w:szCs w:val="24"/>
        </w:rPr>
        <w:t>Cited in the last paragraph</w:t>
      </w:r>
      <w:r w:rsidR="00252E24">
        <w:rPr>
          <w:rFonts w:ascii="Times New Roman" w:hAnsi="Times New Roman"/>
          <w:sz w:val="24"/>
          <w:szCs w:val="24"/>
        </w:rPr>
        <w:t>)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08CAEE0E" w:rsidR="00125B81" w:rsidRPr="006A4415" w:rsidRDefault="00AE69E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125B81" w:rsidRPr="006A4415">
        <w:rPr>
          <w:rFonts w:ascii="Times New Roman" w:hAnsi="Times New Roman"/>
          <w:sz w:val="24"/>
          <w:szCs w:val="24"/>
        </w:rPr>
        <w:t xml:space="preserve"> Kramer ADI (2012) The spread of emotion via Facebook. Proc CHI (Association for Computing Machinery, New York), pp 767–770. </w:t>
      </w:r>
      <w:r w:rsidR="008B6F1B">
        <w:rPr>
          <w:rFonts w:ascii="Times New Roman" w:hAnsi="Times New Roman"/>
          <w:sz w:val="24"/>
          <w:szCs w:val="24"/>
        </w:rPr>
        <w:t>(</w:t>
      </w:r>
      <w:r w:rsidR="008B6F1B" w:rsidRPr="008B6F1B">
        <w:rPr>
          <w:rFonts w:ascii="Times New Roman" w:hAnsi="Times New Roman"/>
          <w:i/>
          <w:sz w:val="24"/>
          <w:szCs w:val="24"/>
        </w:rPr>
        <w:t>Cited on the right hand side of the first page of the article</w:t>
      </w:r>
      <w:r w:rsidR="008B6F1B">
        <w:rPr>
          <w:rFonts w:ascii="Times New Roman" w:hAnsi="Times New Roman"/>
          <w:sz w:val="24"/>
          <w:szCs w:val="24"/>
        </w:rPr>
        <w:t>)</w:t>
      </w: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6081A3DA" w:rsidR="00A3298F" w:rsidRPr="0096602D" w:rsidRDefault="0048713D" w:rsidP="00045E5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[15]</w:t>
      </w:r>
      <w:r w:rsidR="00A3298F" w:rsidRPr="006A4415">
        <w:rPr>
          <w:rFonts w:ascii="Times New Roman" w:hAnsi="Times New Roman"/>
          <w:sz w:val="24"/>
          <w:szCs w:val="24"/>
        </w:rPr>
        <w:t xml:space="preserve">. Bond RM, et al. (2012) A 61-million-person experiment in social influence and political mobilization. Nature 489(7415):295–298. </w:t>
      </w:r>
      <w:r w:rsidR="007B0A41">
        <w:rPr>
          <w:rFonts w:ascii="Times New Roman" w:hAnsi="Times New Roman"/>
          <w:sz w:val="24"/>
          <w:szCs w:val="24"/>
        </w:rPr>
        <w:t>(</w:t>
      </w:r>
      <w:r w:rsidR="007B0A41" w:rsidRPr="007B0A41">
        <w:rPr>
          <w:rFonts w:ascii="Times New Roman" w:hAnsi="Times New Roman"/>
          <w:i/>
          <w:sz w:val="24"/>
          <w:szCs w:val="24"/>
        </w:rPr>
        <w:t>Cited in the last paragraph</w:t>
      </w:r>
      <w:r w:rsidR="007B0A41">
        <w:rPr>
          <w:rFonts w:ascii="Times New Roman" w:hAnsi="Times New Roman"/>
          <w:sz w:val="24"/>
          <w:szCs w:val="24"/>
        </w:rPr>
        <w:t>)</w:t>
      </w: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lastRenderedPageBreak/>
        <w:t xml:space="preserve">Measuring User Confidence in Smartphone Security and Privacy - </w:t>
      </w:r>
      <w:hyperlink r:id="rId10" w:history="1">
        <w:r w:rsidRPr="006A4415">
          <w:rPr>
            <w:rStyle w:val="Hyperlink"/>
          </w:rPr>
          <w:t>https://people.eecs.berkeley.edu/~daw/papers/confidence-soups12.pdf</w:t>
        </w:r>
      </w:hyperlink>
    </w:p>
    <w:p w14:paraId="7CADBDC9" w14:textId="77777777" w:rsidR="006A4415" w:rsidRDefault="006A4415" w:rsidP="006A4415">
      <w:pPr>
        <w:ind w:left="360"/>
      </w:pPr>
    </w:p>
    <w:p w14:paraId="2BC83E02" w14:textId="254F5D7C" w:rsidR="005F4935" w:rsidRDefault="005F4935" w:rsidP="006A4415">
      <w:pPr>
        <w:ind w:left="360"/>
      </w:pPr>
      <w:r>
        <w:tab/>
        <w:t xml:space="preserve">Note: this article describes a survey designed to characterize the perception of issues around smartphone </w:t>
      </w:r>
      <w:r>
        <w:tab/>
      </w:r>
      <w:r w:rsidR="00F95DF8">
        <w:t>security, specifically with regard to carrying out certain activities and installation habits.</w:t>
      </w:r>
      <w:r w:rsidR="00CA3A5F">
        <w:t xml:space="preserve"> This is a very-</w:t>
      </w:r>
      <w:r w:rsidR="00CA3A5F">
        <w:tab/>
        <w:t xml:space="preserve">well written article that follows the format we will use in class. The discussion includes limitations, </w:t>
      </w:r>
      <w:r w:rsidR="00CA3A5F">
        <w:tab/>
        <w:t>summarizes findings, and recommendations based on the survey results.</w:t>
      </w:r>
    </w:p>
    <w:p w14:paraId="3BFFA60C" w14:textId="77777777" w:rsidR="005F4935" w:rsidRPr="006A4415" w:rsidRDefault="005F4935" w:rsidP="006A4415">
      <w:pPr>
        <w:ind w:left="360"/>
      </w:pPr>
    </w:p>
    <w:p w14:paraId="6142454E" w14:textId="7FC1C8F4" w:rsidR="00F76E99" w:rsidRPr="006A4415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[5]  Pew: Smartphones overtake feature phones among adults in the U.S. http://www.bgr.com/2012/03/02/pew- smartphones-overtake-feature-phones- among-adults-in-the-u-s/. </w:t>
      </w:r>
      <w:r w:rsidR="00A557BE">
        <w:rPr>
          <w:rFonts w:ascii="Times New Roman" w:hAnsi="Times New Roman"/>
          <w:sz w:val="24"/>
          <w:szCs w:val="24"/>
        </w:rPr>
        <w:t xml:space="preserve"> (</w:t>
      </w:r>
      <w:r w:rsidR="00A557BE">
        <w:rPr>
          <w:rFonts w:ascii="Times New Roman" w:hAnsi="Times New Roman"/>
          <w:i/>
          <w:sz w:val="24"/>
          <w:szCs w:val="24"/>
        </w:rPr>
        <w:t>C</w:t>
      </w:r>
      <w:r w:rsidR="00A557BE" w:rsidRPr="00A557BE">
        <w:rPr>
          <w:rFonts w:ascii="Times New Roman" w:hAnsi="Times New Roman"/>
          <w:i/>
          <w:sz w:val="24"/>
          <w:szCs w:val="24"/>
        </w:rPr>
        <w:t>ited on the first page of the article</w:t>
      </w:r>
      <w:r w:rsidR="00A557BE">
        <w:rPr>
          <w:rFonts w:ascii="Times New Roman" w:hAnsi="Times New Roman"/>
          <w:sz w:val="24"/>
          <w:szCs w:val="24"/>
        </w:rPr>
        <w:t>)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426EB3BA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[23]  A. Felt, M. </w:t>
      </w:r>
      <w:proofErr w:type="spellStart"/>
      <w:r w:rsidRPr="006A4415">
        <w:rPr>
          <w:rFonts w:ascii="Times New Roman" w:hAnsi="Times New Roman"/>
          <w:sz w:val="24"/>
          <w:szCs w:val="24"/>
        </w:rPr>
        <w:t>Finifter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  <w:r w:rsidR="007E2B21">
        <w:rPr>
          <w:rFonts w:ascii="Times New Roman" w:hAnsi="Times New Roman"/>
          <w:sz w:val="24"/>
          <w:szCs w:val="24"/>
        </w:rPr>
        <w:t>(</w:t>
      </w:r>
      <w:r w:rsidR="00EC4484" w:rsidRPr="00EC4484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EC4484" w:rsidRPr="00EC4484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EC4484" w:rsidRPr="00EC4484">
        <w:rPr>
          <w:rFonts w:ascii="Times New Roman" w:hAnsi="Times New Roman"/>
          <w:i/>
          <w:sz w:val="24"/>
          <w:szCs w:val="24"/>
        </w:rPr>
        <w:t xml:space="preserve"> 2</w:t>
      </w:r>
      <w:r w:rsidR="007E2B21">
        <w:rPr>
          <w:rFonts w:ascii="Times New Roman" w:hAnsi="Times New Roman"/>
          <w:sz w:val="24"/>
          <w:szCs w:val="24"/>
        </w:rPr>
        <w:t>)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397E265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[39]  R.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1C7F98">
        <w:rPr>
          <w:rFonts w:ascii="Times New Roman" w:hAnsi="Times New Roman"/>
          <w:sz w:val="24"/>
          <w:szCs w:val="24"/>
        </w:rPr>
        <w:t>(</w:t>
      </w:r>
      <w:r w:rsidR="001C7F98" w:rsidRPr="001C7F98">
        <w:rPr>
          <w:rFonts w:ascii="Times New Roman" w:hAnsi="Times New Roman"/>
          <w:i/>
          <w:sz w:val="24"/>
          <w:szCs w:val="24"/>
        </w:rPr>
        <w:t>Cited in section 2.2</w:t>
      </w:r>
      <w:r w:rsidR="001C7F98">
        <w:rPr>
          <w:rFonts w:ascii="Times New Roman" w:hAnsi="Times New Roman"/>
          <w:sz w:val="24"/>
          <w:szCs w:val="24"/>
        </w:rPr>
        <w:t>)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446B2AAE" w:rsidR="006A4415" w:rsidRPr="006A4415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[16]  R. Boehme and S. </w:t>
      </w:r>
      <w:proofErr w:type="spellStart"/>
      <w:r w:rsidRPr="006A4415">
        <w:rPr>
          <w:rFonts w:ascii="Times New Roman" w:hAnsi="Times New Roman"/>
          <w:sz w:val="24"/>
          <w:szCs w:val="24"/>
        </w:rPr>
        <w:t>Kopsell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. Trained to accept?: A field experiment on consent dialogs.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ACM SIGCHI Conference on Human Factors in Computing Systems (CHI)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78624C">
        <w:rPr>
          <w:rFonts w:ascii="Times New Roman" w:hAnsi="Times New Roman"/>
          <w:sz w:val="24"/>
          <w:szCs w:val="24"/>
        </w:rPr>
        <w:t>(</w:t>
      </w:r>
      <w:r w:rsidR="0078624C" w:rsidRPr="0078624C">
        <w:rPr>
          <w:rFonts w:ascii="Times New Roman" w:hAnsi="Times New Roman"/>
          <w:i/>
          <w:sz w:val="24"/>
          <w:szCs w:val="24"/>
        </w:rPr>
        <w:t>Cited right before section 5.3</w:t>
      </w:r>
      <w:r w:rsidR="0078624C">
        <w:rPr>
          <w:rFonts w:ascii="Times New Roman" w:hAnsi="Times New Roman"/>
          <w:sz w:val="24"/>
          <w:szCs w:val="24"/>
        </w:rPr>
        <w:t>)</w:t>
      </w:r>
    </w:p>
    <w:p w14:paraId="6D054BE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1E824114" w:rsidR="00F76E99" w:rsidRPr="006A4415" w:rsidRDefault="006A4415" w:rsidP="006A4415">
      <w:pPr>
        <w:numPr>
          <w:ilvl w:val="1"/>
          <w:numId w:val="8"/>
        </w:numPr>
      </w:pPr>
      <w:r w:rsidRPr="006A4415">
        <w:t xml:space="preserve">[37]  I. </w:t>
      </w:r>
      <w:proofErr w:type="spellStart"/>
      <w:r w:rsidRPr="006A4415">
        <w:t>Traore</w:t>
      </w:r>
      <w:proofErr w:type="spellEnd"/>
      <w:r w:rsidRPr="006A4415">
        <w:t xml:space="preserve"> and A. Ahmed. Continuous authentication using biometrics: Data, models, and metrics. http://my.safaribooksonline.com/book/- /9781613501290. </w:t>
      </w:r>
      <w:r w:rsidR="005655DC">
        <w:t>(</w:t>
      </w:r>
      <w:r w:rsidR="005655DC" w:rsidRPr="005655DC">
        <w:rPr>
          <w:i/>
        </w:rPr>
        <w:t>Cited right before section 7.4</w:t>
      </w:r>
      <w:r w:rsidR="005655DC">
        <w:t>)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3F97" w14:textId="77777777" w:rsidR="002E338C" w:rsidRDefault="002E338C">
      <w:r>
        <w:separator/>
      </w:r>
    </w:p>
  </w:endnote>
  <w:endnote w:type="continuationSeparator" w:id="0">
    <w:p w14:paraId="732AB54D" w14:textId="77777777" w:rsidR="002E338C" w:rsidRDefault="002E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5D75C" w14:textId="77777777" w:rsidR="002E338C" w:rsidRDefault="002E338C">
      <w:r>
        <w:separator/>
      </w:r>
    </w:p>
  </w:footnote>
  <w:footnote w:type="continuationSeparator" w:id="0">
    <w:p w14:paraId="201C14D3" w14:textId="77777777" w:rsidR="002E338C" w:rsidRDefault="002E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5E57"/>
    <w:rsid w:val="0004767F"/>
    <w:rsid w:val="00047AFA"/>
    <w:rsid w:val="00047D35"/>
    <w:rsid w:val="00053628"/>
    <w:rsid w:val="00056271"/>
    <w:rsid w:val="000606A4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060C8"/>
    <w:rsid w:val="00112BC2"/>
    <w:rsid w:val="00115087"/>
    <w:rsid w:val="00117B06"/>
    <w:rsid w:val="00122B5F"/>
    <w:rsid w:val="00125B81"/>
    <w:rsid w:val="0012647F"/>
    <w:rsid w:val="001312CB"/>
    <w:rsid w:val="00131693"/>
    <w:rsid w:val="00134636"/>
    <w:rsid w:val="0015471F"/>
    <w:rsid w:val="00155168"/>
    <w:rsid w:val="00155A35"/>
    <w:rsid w:val="00157C7E"/>
    <w:rsid w:val="001606A9"/>
    <w:rsid w:val="00176E30"/>
    <w:rsid w:val="0019029B"/>
    <w:rsid w:val="00190F45"/>
    <w:rsid w:val="00192534"/>
    <w:rsid w:val="001974F6"/>
    <w:rsid w:val="001A2A4C"/>
    <w:rsid w:val="001B0E12"/>
    <w:rsid w:val="001C6267"/>
    <w:rsid w:val="001C7F98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52E24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D5C48"/>
    <w:rsid w:val="002E338C"/>
    <w:rsid w:val="002E4C2B"/>
    <w:rsid w:val="002F2D8C"/>
    <w:rsid w:val="002F520F"/>
    <w:rsid w:val="00325332"/>
    <w:rsid w:val="00325980"/>
    <w:rsid w:val="003315AF"/>
    <w:rsid w:val="00331FA8"/>
    <w:rsid w:val="00337222"/>
    <w:rsid w:val="00340EF5"/>
    <w:rsid w:val="003531FE"/>
    <w:rsid w:val="00355E88"/>
    <w:rsid w:val="003569DE"/>
    <w:rsid w:val="00360F95"/>
    <w:rsid w:val="003754D7"/>
    <w:rsid w:val="00375C65"/>
    <w:rsid w:val="0037791C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609D"/>
    <w:rsid w:val="004802AC"/>
    <w:rsid w:val="0048657F"/>
    <w:rsid w:val="0048713D"/>
    <w:rsid w:val="004871C1"/>
    <w:rsid w:val="00490B5C"/>
    <w:rsid w:val="004965BF"/>
    <w:rsid w:val="004A2AFF"/>
    <w:rsid w:val="004A45E5"/>
    <w:rsid w:val="004B295C"/>
    <w:rsid w:val="004B310E"/>
    <w:rsid w:val="004B3D2F"/>
    <w:rsid w:val="004C26EB"/>
    <w:rsid w:val="004D6E2A"/>
    <w:rsid w:val="004D7404"/>
    <w:rsid w:val="004D7818"/>
    <w:rsid w:val="004E24F8"/>
    <w:rsid w:val="004E3A33"/>
    <w:rsid w:val="004F0ACD"/>
    <w:rsid w:val="004F0C2E"/>
    <w:rsid w:val="004F1862"/>
    <w:rsid w:val="004F41AF"/>
    <w:rsid w:val="0050314D"/>
    <w:rsid w:val="0050687E"/>
    <w:rsid w:val="00506DA4"/>
    <w:rsid w:val="00511CC3"/>
    <w:rsid w:val="00515426"/>
    <w:rsid w:val="00527CD4"/>
    <w:rsid w:val="00540452"/>
    <w:rsid w:val="00544F1C"/>
    <w:rsid w:val="00547CCA"/>
    <w:rsid w:val="00553A02"/>
    <w:rsid w:val="00553AA9"/>
    <w:rsid w:val="00555331"/>
    <w:rsid w:val="00560668"/>
    <w:rsid w:val="0056432D"/>
    <w:rsid w:val="00564C72"/>
    <w:rsid w:val="005655DC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4935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36F2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4D66"/>
    <w:rsid w:val="0078285D"/>
    <w:rsid w:val="0078624C"/>
    <w:rsid w:val="007902AE"/>
    <w:rsid w:val="007A0F16"/>
    <w:rsid w:val="007B0A41"/>
    <w:rsid w:val="007B43BD"/>
    <w:rsid w:val="007B76EB"/>
    <w:rsid w:val="007C1706"/>
    <w:rsid w:val="007C2C52"/>
    <w:rsid w:val="007D45B5"/>
    <w:rsid w:val="007E070E"/>
    <w:rsid w:val="007E170D"/>
    <w:rsid w:val="007E2B21"/>
    <w:rsid w:val="007F380C"/>
    <w:rsid w:val="008045DA"/>
    <w:rsid w:val="008114CC"/>
    <w:rsid w:val="00822886"/>
    <w:rsid w:val="00823998"/>
    <w:rsid w:val="00827EC1"/>
    <w:rsid w:val="0083153E"/>
    <w:rsid w:val="00841801"/>
    <w:rsid w:val="00855509"/>
    <w:rsid w:val="00855B65"/>
    <w:rsid w:val="0088378C"/>
    <w:rsid w:val="008918FC"/>
    <w:rsid w:val="00897227"/>
    <w:rsid w:val="008A53B7"/>
    <w:rsid w:val="008A5E54"/>
    <w:rsid w:val="008A6EBC"/>
    <w:rsid w:val="008B6F1B"/>
    <w:rsid w:val="008C1E5D"/>
    <w:rsid w:val="008C60D4"/>
    <w:rsid w:val="008D4F46"/>
    <w:rsid w:val="008D675B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6602D"/>
    <w:rsid w:val="009705C9"/>
    <w:rsid w:val="00981850"/>
    <w:rsid w:val="00993768"/>
    <w:rsid w:val="00994A7C"/>
    <w:rsid w:val="00996D06"/>
    <w:rsid w:val="009A163F"/>
    <w:rsid w:val="009B1CE9"/>
    <w:rsid w:val="009B6C2C"/>
    <w:rsid w:val="009B6FCD"/>
    <w:rsid w:val="009C74BC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7BE"/>
    <w:rsid w:val="00A55AF3"/>
    <w:rsid w:val="00A608A4"/>
    <w:rsid w:val="00A60933"/>
    <w:rsid w:val="00A60EE7"/>
    <w:rsid w:val="00A642A8"/>
    <w:rsid w:val="00A74B43"/>
    <w:rsid w:val="00A81DD2"/>
    <w:rsid w:val="00A81E53"/>
    <w:rsid w:val="00A91F0C"/>
    <w:rsid w:val="00A9614C"/>
    <w:rsid w:val="00A96745"/>
    <w:rsid w:val="00AA7CE6"/>
    <w:rsid w:val="00AC2FE4"/>
    <w:rsid w:val="00AD01DD"/>
    <w:rsid w:val="00AD50F1"/>
    <w:rsid w:val="00AE61A1"/>
    <w:rsid w:val="00AE69E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81F1B"/>
    <w:rsid w:val="00B82DCA"/>
    <w:rsid w:val="00B84C61"/>
    <w:rsid w:val="00B8627A"/>
    <w:rsid w:val="00B92F54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3F01"/>
    <w:rsid w:val="00BD5108"/>
    <w:rsid w:val="00BD72C0"/>
    <w:rsid w:val="00BE7DC4"/>
    <w:rsid w:val="00BF17BD"/>
    <w:rsid w:val="00BF363F"/>
    <w:rsid w:val="00BF4BA0"/>
    <w:rsid w:val="00C10958"/>
    <w:rsid w:val="00C15BCA"/>
    <w:rsid w:val="00C373C6"/>
    <w:rsid w:val="00C417E3"/>
    <w:rsid w:val="00C41EE4"/>
    <w:rsid w:val="00C434C0"/>
    <w:rsid w:val="00C4388D"/>
    <w:rsid w:val="00C46F85"/>
    <w:rsid w:val="00C54D32"/>
    <w:rsid w:val="00C65BF2"/>
    <w:rsid w:val="00C71704"/>
    <w:rsid w:val="00C73018"/>
    <w:rsid w:val="00C74DB1"/>
    <w:rsid w:val="00C859EF"/>
    <w:rsid w:val="00C87D59"/>
    <w:rsid w:val="00C9386F"/>
    <w:rsid w:val="00CA359A"/>
    <w:rsid w:val="00CA3A5F"/>
    <w:rsid w:val="00CA51DB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C212E"/>
    <w:rsid w:val="00DC283B"/>
    <w:rsid w:val="00DC4DF0"/>
    <w:rsid w:val="00DC5AD1"/>
    <w:rsid w:val="00DC7AD6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438"/>
    <w:rsid w:val="00EC4484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5DF8"/>
    <w:rsid w:val="00F973C0"/>
    <w:rsid w:val="00FA2A6E"/>
    <w:rsid w:val="00FB56D4"/>
    <w:rsid w:val="00FB6A35"/>
    <w:rsid w:val="00FC311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ancik.github.io/CSC-450/data/hw/Varas_CA_model_evacu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eople.eecs.berkeley.edu/~daw/papers/confidence-soups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dancik.github.io/CSC-450/data/hw/F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9492-1F5F-EF44-ACDB-670C97DC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 Garrett M.(Computer Science)</cp:lastModifiedBy>
  <cp:revision>54</cp:revision>
  <cp:lastPrinted>2016-10-13T14:50:00Z</cp:lastPrinted>
  <dcterms:created xsi:type="dcterms:W3CDTF">2016-10-13T14:50:00Z</dcterms:created>
  <dcterms:modified xsi:type="dcterms:W3CDTF">2018-10-22T00:06:00Z</dcterms:modified>
</cp:coreProperties>
</file>