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Baseline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Observations with outstanding claims excluded from analysis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Claims outstanding assumed to not have been paid at all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Claims outstanding assumed to have been paid in full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Higher cost of hull relative to other outlays (25% instead of 17% in baseline)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Lower rate of depreciation (10% instead of baseline 25%)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Cost of insurance not added to any voyages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Both value of hull and cost of insurance added, in cases where accounts seem to suggest total outlays/returns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0.18***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0.12***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[0.02,0.20]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[0.07,0.27]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[0.09,0.27]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[0.06,0.24]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[0.05,0.22]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-1.36***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-1.09***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-1.21***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-1.25***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-1.25***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[-1.59,-0.85]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[-1.61,-0.83]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[-1.75,-0.96]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[-1.49,-0.69]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[-1.59,-0.85]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[-1.58,-0.84]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[-1.60,-0.84]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[-1.62,-0.88]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[-1.58,-0.86]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[-1.61,-0.89]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-0.20***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[-0.32,-0.13]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[-0.24,-0.03]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[-0.27,-0.09]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[-0.27,-0.08]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[-0.27,-0.05]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[-0.28,-0.09]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[-0.29,-0.11]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[-0.30,-0.12]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[-0.06,0.01]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-0.30***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-0.19***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-0.20***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[-0.33,-0.10]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[-0.32,-0.10]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[-0.34,-0.10]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[-0.32,-0.10]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[-0.33,-0.11]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[-0.43,-0.17]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[-0.29,-0.07]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[-0.25,0.17]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[-0.26,0.16]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[-0.38,0.18]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[-0.24,0.19]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[-0.16,0.20]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2.27***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2.87***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1.79***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2.34***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2.47***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2.12***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2.30***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[1.21,3.45]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[1.11,3.42]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[1.78,3.96]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[0.51,3.07]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[1.21,3.44]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[1.22,3.46]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[1.31,3.63]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[0.94,3.30]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[1.29,3.57]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[1.11,3.50]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