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2933" w:rsidRDefault="000A2D33" w:rsidP="00FF2933">
      <w:pPr>
        <w:pStyle w:val="Titre"/>
        <w:rPr>
          <w:lang w:val="en-US"/>
        </w:rPr>
      </w:pPr>
      <w:r>
        <w:rPr>
          <w:lang w:val="en-US"/>
        </w:rPr>
        <w:t>Cost-push inflation and world input-output tables</w:t>
      </w:r>
    </w:p>
    <w:p w:rsidR="00FF2933" w:rsidRDefault="00FF2933" w:rsidP="00FF2933">
      <w:pPr>
        <w:rPr>
          <w:lang w:val="en-US"/>
        </w:rPr>
      </w:pPr>
    </w:p>
    <w:p w:rsidR="00FF2933" w:rsidRDefault="00FF2933" w:rsidP="00FF2933">
      <w:pPr>
        <w:pStyle w:val="Titre1"/>
        <w:rPr>
          <w:lang w:val="en-US"/>
        </w:rPr>
      </w:pPr>
      <w:r>
        <w:rPr>
          <w:lang w:val="en-US"/>
        </w:rPr>
        <w:t>Abstract</w:t>
      </w:r>
    </w:p>
    <w:p w:rsidR="00FF2933" w:rsidRPr="00FF2933" w:rsidRDefault="00FF2933" w:rsidP="00FF2933">
      <w:pPr>
        <w:rPr>
          <w:lang w:val="en-US"/>
        </w:rPr>
      </w:pPr>
      <w:r w:rsidRPr="00FF2933">
        <w:rPr>
          <w:lang w:val="en-US"/>
        </w:rPr>
        <w:t xml:space="preserve">Understanding how exchange rate movements impact inflation is critically important for monetary policy. </w:t>
      </w:r>
    </w:p>
    <w:p w:rsidR="00FF2933" w:rsidRPr="00FF2933" w:rsidRDefault="00FF2933" w:rsidP="00FF2933">
      <w:pPr>
        <w:rPr>
          <w:lang w:val="en-US"/>
        </w:rPr>
      </w:pPr>
      <w:r w:rsidRPr="00FF2933">
        <w:rPr>
          <w:lang w:val="en-US"/>
        </w:rPr>
        <w:t>Using several datasets covering most advanced and emerging economies, this column analyses which countries and sectors are under pressure to adjust their prices when subject to an exchange rate variation.</w:t>
      </w:r>
    </w:p>
    <w:p w:rsidR="00FF2933" w:rsidRPr="00FF2933" w:rsidRDefault="00FF2933" w:rsidP="00FF2933">
      <w:pPr>
        <w:rPr>
          <w:lang w:val="en-US"/>
        </w:rPr>
      </w:pPr>
      <w:r w:rsidRPr="00FF2933">
        <w:rPr>
          <w:lang w:val="en-US"/>
        </w:rPr>
        <w:t>It documents the heterogeneous reactions of consumer prices to exchange rate variations across countries, reflecting differences in foreign product content of consumption and intermediate products.</w:t>
      </w:r>
    </w:p>
    <w:p w:rsidR="00FF2933" w:rsidRDefault="00FF2933">
      <w:pPr>
        <w:rPr>
          <w:lang w:val="en-US"/>
        </w:rPr>
      </w:pPr>
    </w:p>
    <w:p w:rsidR="00FF2933" w:rsidRDefault="00FF2933">
      <w:pPr>
        <w:rPr>
          <w:lang w:val="en-US"/>
        </w:rPr>
      </w:pPr>
    </w:p>
    <w:p w:rsidR="00FF2933" w:rsidRDefault="00FF2933" w:rsidP="00FF2933">
      <w:pPr>
        <w:pStyle w:val="Titre1"/>
        <w:rPr>
          <w:lang w:val="en-US"/>
        </w:rPr>
      </w:pPr>
      <w:r>
        <w:rPr>
          <w:lang w:val="en-US"/>
        </w:rPr>
        <w:t>Introduction</w:t>
      </w:r>
    </w:p>
    <w:p w:rsidR="000041E9" w:rsidRDefault="00E714CC">
      <w:pPr>
        <w:rPr>
          <w:lang w:val="en-US"/>
        </w:rPr>
      </w:pPr>
      <w:r>
        <w:rPr>
          <w:lang w:val="en-US"/>
        </w:rPr>
        <w:t xml:space="preserve">With the rise of global value chains, </w:t>
      </w:r>
      <w:r w:rsidR="00B4727C">
        <w:rPr>
          <w:lang w:val="en-US"/>
        </w:rPr>
        <w:t xml:space="preserve">numerous researchers have used </w:t>
      </w:r>
      <w:r w:rsidR="00B4727C">
        <w:rPr>
          <w:lang w:val="en-US"/>
        </w:rPr>
        <w:t>w</w:t>
      </w:r>
      <w:r w:rsidR="00B4727C" w:rsidRPr="00E714CC">
        <w:rPr>
          <w:lang w:val="en-US"/>
        </w:rPr>
        <w:t>orld input-output tables</w:t>
      </w:r>
      <w:r w:rsidR="00B4727C">
        <w:rPr>
          <w:lang w:val="en-US"/>
        </w:rPr>
        <w:t xml:space="preserve"> </w:t>
      </w:r>
      <w:r w:rsidR="000A2D33">
        <w:rPr>
          <w:lang w:val="en-US"/>
        </w:rPr>
        <w:t xml:space="preserve">(WIOTs) </w:t>
      </w:r>
      <w:r>
        <w:rPr>
          <w:lang w:val="en-US"/>
        </w:rPr>
        <w:t>to shed light on international economics</w:t>
      </w:r>
      <w:r w:rsidR="00B4727C">
        <w:rPr>
          <w:lang w:val="en-US"/>
        </w:rPr>
        <w:t xml:space="preserve"> issues</w:t>
      </w:r>
      <w:r>
        <w:rPr>
          <w:lang w:val="en-US"/>
        </w:rPr>
        <w:t>. The</w:t>
      </w:r>
      <w:r w:rsidR="00B4727C">
        <w:rPr>
          <w:lang w:val="en-US"/>
        </w:rPr>
        <w:t>ses tables</w:t>
      </w:r>
      <w:r>
        <w:rPr>
          <w:lang w:val="en-US"/>
        </w:rPr>
        <w:t xml:space="preserve"> are important to measure the exposure to international risk (</w:t>
      </w:r>
      <w:proofErr w:type="spellStart"/>
      <w:r>
        <w:rPr>
          <w:lang w:val="en-US"/>
        </w:rPr>
        <w:t>Borin</w:t>
      </w:r>
      <w:proofErr w:type="spellEnd"/>
      <w:r>
        <w:rPr>
          <w:lang w:val="en-US"/>
        </w:rPr>
        <w:t xml:space="preserve">, Mancini and </w:t>
      </w:r>
      <w:proofErr w:type="spellStart"/>
      <w:r>
        <w:rPr>
          <w:lang w:val="en-US"/>
        </w:rPr>
        <w:t>Taglioni</w:t>
      </w:r>
      <w:proofErr w:type="spellEnd"/>
      <w:r>
        <w:rPr>
          <w:lang w:val="en-US"/>
        </w:rPr>
        <w:t xml:space="preserve"> 2022)</w:t>
      </w:r>
      <w:r w:rsidR="00B4727C">
        <w:rPr>
          <w:lang w:val="en-US"/>
        </w:rPr>
        <w:t>, attributing carbon emissions across countries (</w:t>
      </w:r>
      <w:proofErr w:type="spellStart"/>
      <w:r w:rsidR="00B4727C">
        <w:rPr>
          <w:lang w:val="en-US"/>
        </w:rPr>
        <w:t>Airebule</w:t>
      </w:r>
      <w:proofErr w:type="spellEnd"/>
      <w:r w:rsidR="00B4727C">
        <w:rPr>
          <w:lang w:val="en-US"/>
        </w:rPr>
        <w:t xml:space="preserve">, Cheng and Ishikawa 2022), looking into the beneficiary of trade-generated income (Bohn, </w:t>
      </w:r>
      <w:proofErr w:type="spellStart"/>
      <w:r w:rsidR="00B4727C">
        <w:rPr>
          <w:lang w:val="en-US"/>
        </w:rPr>
        <w:t>Brakman</w:t>
      </w:r>
      <w:proofErr w:type="spellEnd"/>
      <w:r w:rsidR="00B4727C">
        <w:rPr>
          <w:lang w:val="en-US"/>
        </w:rPr>
        <w:t xml:space="preserve"> and </w:t>
      </w:r>
      <w:proofErr w:type="spellStart"/>
      <w:r w:rsidR="00B4727C">
        <w:rPr>
          <w:lang w:val="en-US"/>
        </w:rPr>
        <w:t>Dietzenbache</w:t>
      </w:r>
      <w:proofErr w:type="spellEnd"/>
      <w:r w:rsidR="00B4727C">
        <w:rPr>
          <w:lang w:val="en-US"/>
        </w:rPr>
        <w:t xml:space="preserve"> </w:t>
      </w:r>
      <w:proofErr w:type="gramStart"/>
      <w:r w:rsidR="00B4727C">
        <w:rPr>
          <w:lang w:val="en-US"/>
        </w:rPr>
        <w:t>2021)…</w:t>
      </w:r>
      <w:proofErr w:type="gramEnd"/>
    </w:p>
    <w:p w:rsidR="00E714CC" w:rsidRDefault="000A2D33">
      <w:pPr>
        <w:rPr>
          <w:lang w:val="en-US"/>
        </w:rPr>
      </w:pPr>
      <w:r>
        <w:rPr>
          <w:lang w:val="en-US"/>
        </w:rPr>
        <w:t xml:space="preserve">As part of a research team at Banque de France, we have also been using WIOTs to analyze cost-push inflation. Specifically, we have studied the effect of sectoral price shocks and exchange rate movements. In doing so, we have unearthed regularities that should be of interest to all </w:t>
      </w:r>
      <w:r>
        <w:rPr>
          <w:lang w:val="en-US"/>
        </w:rPr>
        <w:t>WIOTs</w:t>
      </w:r>
      <w:r>
        <w:rPr>
          <w:lang w:val="en-US"/>
        </w:rPr>
        <w:t xml:space="preserve"> users.</w:t>
      </w:r>
    </w:p>
    <w:p w:rsidR="006A444E" w:rsidRDefault="006A444E" w:rsidP="006A444E">
      <w:pPr>
        <w:rPr>
          <w:lang w:val="en-US"/>
        </w:rPr>
      </w:pPr>
      <w:r w:rsidRPr="006A444E">
        <w:rPr>
          <w:lang w:val="en-US"/>
        </w:rPr>
        <w:t>Understanding how exchange rate movements impact inflation is critically important for monetary policy. The transmission of exchange rate movements to consumer prices differs across countries. It depends, among other things, on their respective trade openness, the relative integration of sectors and firms in international production chains and the currency of invoicing for trade. In a recent paper (</w:t>
      </w:r>
      <w:proofErr w:type="spellStart"/>
      <w:r w:rsidRPr="006A444E">
        <w:rPr>
          <w:lang w:val="en-US"/>
        </w:rPr>
        <w:t>Camatte</w:t>
      </w:r>
      <w:proofErr w:type="spellEnd"/>
      <w:r w:rsidRPr="006A444E">
        <w:rPr>
          <w:lang w:val="en-US"/>
        </w:rPr>
        <w:t xml:space="preserve"> et al., 2021), we </w:t>
      </w:r>
      <w:proofErr w:type="spellStart"/>
      <w:r w:rsidRPr="006A444E">
        <w:rPr>
          <w:lang w:val="en-US"/>
        </w:rPr>
        <w:t>analyse</w:t>
      </w:r>
      <w:proofErr w:type="spellEnd"/>
      <w:r w:rsidRPr="006A444E">
        <w:rPr>
          <w:lang w:val="en-US"/>
        </w:rPr>
        <w:t xml:space="preserve"> the impact of exchange rate variations on domestic consumer prices using several datasets covering most advanced and emerging economies, from 1995 to 2019.</w:t>
      </w:r>
    </w:p>
    <w:p w:rsidR="00E714CC" w:rsidRDefault="00E714CC">
      <w:pPr>
        <w:rPr>
          <w:lang w:val="en-US"/>
        </w:rPr>
      </w:pPr>
    </w:p>
    <w:p w:rsidR="00E714CC" w:rsidRDefault="00E714CC">
      <w:pPr>
        <w:rPr>
          <w:lang w:val="en-US"/>
        </w:rPr>
      </w:pPr>
    </w:p>
    <w:p w:rsidR="00E714CC" w:rsidRDefault="00E714CC">
      <w:pPr>
        <w:rPr>
          <w:lang w:val="en-US"/>
        </w:rPr>
      </w:pPr>
    </w:p>
    <w:p w:rsidR="00E714CC" w:rsidRDefault="00E714CC">
      <w:pPr>
        <w:rPr>
          <w:lang w:val="en-US"/>
        </w:rPr>
      </w:pPr>
    </w:p>
    <w:p w:rsidR="00E714CC" w:rsidRDefault="00E714CC">
      <w:pPr>
        <w:rPr>
          <w:lang w:val="en-US"/>
        </w:rPr>
      </w:pPr>
    </w:p>
    <w:p w:rsidR="00E714CC" w:rsidRDefault="00E714CC" w:rsidP="00E714CC">
      <w:pPr>
        <w:pStyle w:val="Titre1"/>
        <w:rPr>
          <w:lang w:val="en-US"/>
        </w:rPr>
      </w:pPr>
      <w:r>
        <w:rPr>
          <w:lang w:val="en-US"/>
        </w:rPr>
        <w:t>Bibliography</w:t>
      </w:r>
    </w:p>
    <w:p w:rsidR="00B4727C" w:rsidRDefault="00B4727C" w:rsidP="00E714CC">
      <w:pPr>
        <w:rPr>
          <w:rFonts w:ascii="Times New Roman" w:eastAsia="Times New Roman" w:hAnsi="Times New Roman" w:cs="Times New Roman"/>
          <w:lang w:val="en-US" w:eastAsia="fr-FR"/>
        </w:rPr>
      </w:pPr>
    </w:p>
    <w:p w:rsidR="00FF2933" w:rsidRDefault="00B4727C" w:rsidP="00B4727C">
      <w:pPr>
        <w:rPr>
          <w:rFonts w:ascii="Times New Roman" w:eastAsia="Times New Roman" w:hAnsi="Times New Roman" w:cs="Times New Roman"/>
          <w:lang w:val="en-US" w:eastAsia="fr-FR"/>
        </w:rPr>
      </w:pPr>
      <w:proofErr w:type="spellStart"/>
      <w:r>
        <w:rPr>
          <w:rFonts w:ascii="Times New Roman" w:eastAsia="Times New Roman" w:hAnsi="Times New Roman" w:cs="Times New Roman"/>
          <w:lang w:val="en-US" w:eastAsia="fr-FR"/>
        </w:rPr>
        <w:t>Airebule</w:t>
      </w:r>
      <w:proofErr w:type="spellEnd"/>
      <w:r w:rsidR="00FF2933">
        <w:rPr>
          <w:rFonts w:ascii="Times New Roman" w:eastAsia="Times New Roman" w:hAnsi="Times New Roman" w:cs="Times New Roman"/>
          <w:lang w:val="en-US" w:eastAsia="fr-FR"/>
        </w:rPr>
        <w:t>, P, H Cheng, J Ishikawa (2022), “</w:t>
      </w:r>
      <w:r w:rsidR="00FF2933" w:rsidRPr="00FF2933">
        <w:rPr>
          <w:rFonts w:ascii="Times New Roman" w:eastAsia="Times New Roman" w:hAnsi="Times New Roman" w:cs="Times New Roman"/>
          <w:lang w:val="en-US" w:eastAsia="fr-FR"/>
        </w:rPr>
        <w:t>Shared responsibility criterion for allocating carbon emissions across countries</w:t>
      </w:r>
      <w:r w:rsidR="00FF2933">
        <w:rPr>
          <w:rFonts w:ascii="Times New Roman" w:eastAsia="Times New Roman" w:hAnsi="Times New Roman" w:cs="Times New Roman"/>
          <w:lang w:val="en-US" w:eastAsia="fr-FR"/>
        </w:rPr>
        <w:t>”, VoxEU.org, February 28</w:t>
      </w:r>
      <w:r w:rsidR="00FF2933" w:rsidRPr="00FF2933">
        <w:rPr>
          <w:rFonts w:ascii="Times New Roman" w:eastAsia="Times New Roman" w:hAnsi="Times New Roman" w:cs="Times New Roman"/>
          <w:vertAlign w:val="superscript"/>
          <w:lang w:val="en-US" w:eastAsia="fr-FR"/>
        </w:rPr>
        <w:t>th</w:t>
      </w:r>
    </w:p>
    <w:p w:rsidR="00B4727C" w:rsidRPr="00B4727C" w:rsidRDefault="00B4727C" w:rsidP="00B4727C">
      <w:pPr>
        <w:rPr>
          <w:rFonts w:ascii="Times New Roman" w:eastAsia="Times New Roman" w:hAnsi="Times New Roman" w:cs="Times New Roman"/>
          <w:lang w:val="en-US" w:eastAsia="fr-FR"/>
        </w:rPr>
      </w:pPr>
      <w:r w:rsidRPr="00B4727C">
        <w:rPr>
          <w:rFonts w:ascii="Times New Roman" w:eastAsia="Times New Roman" w:hAnsi="Times New Roman" w:cs="Times New Roman"/>
          <w:lang w:val="en-US" w:eastAsia="fr-FR"/>
        </w:rPr>
        <w:lastRenderedPageBreak/>
        <w:t xml:space="preserve">Bohn, T, S </w:t>
      </w:r>
      <w:proofErr w:type="spellStart"/>
      <w:r w:rsidRPr="00B4727C">
        <w:rPr>
          <w:rFonts w:ascii="Times New Roman" w:eastAsia="Times New Roman" w:hAnsi="Times New Roman" w:cs="Times New Roman"/>
          <w:lang w:val="en-US" w:eastAsia="fr-FR"/>
        </w:rPr>
        <w:t>Brakman</w:t>
      </w:r>
      <w:proofErr w:type="spellEnd"/>
      <w:r w:rsidRPr="00B4727C">
        <w:rPr>
          <w:rFonts w:ascii="Times New Roman" w:eastAsia="Times New Roman" w:hAnsi="Times New Roman" w:cs="Times New Roman"/>
          <w:lang w:val="en-US" w:eastAsia="fr-FR"/>
        </w:rPr>
        <w:t xml:space="preserve"> and E </w:t>
      </w:r>
      <w:proofErr w:type="spellStart"/>
      <w:r w:rsidRPr="00B4727C">
        <w:rPr>
          <w:rFonts w:ascii="Times New Roman" w:eastAsia="Times New Roman" w:hAnsi="Times New Roman" w:cs="Times New Roman"/>
          <w:lang w:val="en-US" w:eastAsia="fr-FR"/>
        </w:rPr>
        <w:t>Dietzenbacher</w:t>
      </w:r>
      <w:proofErr w:type="spellEnd"/>
      <w:r>
        <w:rPr>
          <w:rFonts w:ascii="Times New Roman" w:eastAsia="Times New Roman" w:hAnsi="Times New Roman" w:cs="Times New Roman"/>
          <w:lang w:val="en-US" w:eastAsia="fr-FR"/>
        </w:rPr>
        <w:t xml:space="preserve"> (2021), “</w:t>
      </w:r>
      <w:r w:rsidRPr="00B4727C">
        <w:rPr>
          <w:rFonts w:ascii="Times New Roman" w:eastAsia="Times New Roman" w:hAnsi="Times New Roman" w:cs="Times New Roman"/>
          <w:lang w:val="en-US" w:eastAsia="fr-FR"/>
        </w:rPr>
        <w:t>From gross exports to value-added exports to income exports</w:t>
      </w:r>
      <w:r>
        <w:rPr>
          <w:rFonts w:ascii="Times New Roman" w:eastAsia="Times New Roman" w:hAnsi="Times New Roman" w:cs="Times New Roman"/>
          <w:lang w:val="en-US" w:eastAsia="fr-FR"/>
        </w:rPr>
        <w:t>”, VoxEU.org, June 15</w:t>
      </w:r>
      <w:r w:rsidRPr="00B4727C">
        <w:rPr>
          <w:rFonts w:ascii="Times New Roman" w:eastAsia="Times New Roman" w:hAnsi="Times New Roman" w:cs="Times New Roman"/>
          <w:vertAlign w:val="superscript"/>
          <w:lang w:val="en-US" w:eastAsia="fr-FR"/>
        </w:rPr>
        <w:t>th</w:t>
      </w:r>
      <w:r>
        <w:rPr>
          <w:rFonts w:ascii="Times New Roman" w:eastAsia="Times New Roman" w:hAnsi="Times New Roman" w:cs="Times New Roman"/>
          <w:lang w:val="en-US" w:eastAsia="fr-FR"/>
        </w:rPr>
        <w:t xml:space="preserve"> (</w:t>
      </w:r>
      <w:r w:rsidRPr="00B4727C">
        <w:rPr>
          <w:rFonts w:ascii="Times New Roman" w:eastAsia="Times New Roman" w:hAnsi="Times New Roman" w:cs="Times New Roman"/>
          <w:lang w:val="en-US" w:eastAsia="fr-FR"/>
        </w:rPr>
        <w:t>https://voxeu.org/article/gross-exports-value-added-exports-income-exports</w:t>
      </w:r>
      <w:r>
        <w:rPr>
          <w:rFonts w:ascii="Times New Roman" w:eastAsia="Times New Roman" w:hAnsi="Times New Roman" w:cs="Times New Roman"/>
          <w:lang w:val="en-US" w:eastAsia="fr-FR"/>
        </w:rPr>
        <w:t>)</w:t>
      </w:r>
    </w:p>
    <w:p w:rsidR="00E714CC" w:rsidRPr="00E714CC" w:rsidRDefault="00E714CC" w:rsidP="00E714CC">
      <w:pPr>
        <w:rPr>
          <w:rFonts w:ascii="Times New Roman" w:eastAsia="Times New Roman" w:hAnsi="Times New Roman" w:cs="Times New Roman"/>
          <w:lang w:val="en-US" w:eastAsia="fr-FR"/>
        </w:rPr>
      </w:pPr>
      <w:proofErr w:type="spellStart"/>
      <w:r w:rsidRPr="00E714CC">
        <w:rPr>
          <w:rFonts w:ascii="Times New Roman" w:eastAsia="Times New Roman" w:hAnsi="Times New Roman" w:cs="Times New Roman"/>
          <w:lang w:val="en-US" w:eastAsia="fr-FR"/>
        </w:rPr>
        <w:t>Borin</w:t>
      </w:r>
      <w:proofErr w:type="spellEnd"/>
      <w:r w:rsidRPr="00E714CC">
        <w:rPr>
          <w:rFonts w:ascii="Times New Roman" w:eastAsia="Times New Roman" w:hAnsi="Times New Roman" w:cs="Times New Roman"/>
          <w:lang w:val="en-US" w:eastAsia="fr-FR"/>
        </w:rPr>
        <w:t xml:space="preserve">, A, M Mancini and D </w:t>
      </w:r>
      <w:proofErr w:type="spellStart"/>
      <w:r w:rsidRPr="00E714CC">
        <w:rPr>
          <w:rFonts w:ascii="Times New Roman" w:eastAsia="Times New Roman" w:hAnsi="Times New Roman" w:cs="Times New Roman"/>
          <w:lang w:val="en-US" w:eastAsia="fr-FR"/>
        </w:rPr>
        <w:t>Taglioni</w:t>
      </w:r>
      <w:proofErr w:type="spellEnd"/>
      <w:r w:rsidRPr="00E714CC">
        <w:rPr>
          <w:rFonts w:ascii="Times New Roman" w:eastAsia="Times New Roman" w:hAnsi="Times New Roman" w:cs="Times New Roman"/>
          <w:lang w:val="en-US" w:eastAsia="fr-FR"/>
        </w:rPr>
        <w:t xml:space="preserve"> (202</w:t>
      </w:r>
      <w:r w:rsidR="00B4727C">
        <w:rPr>
          <w:rFonts w:ascii="Times New Roman" w:eastAsia="Times New Roman" w:hAnsi="Times New Roman" w:cs="Times New Roman"/>
          <w:lang w:val="en-US" w:eastAsia="fr-FR"/>
        </w:rPr>
        <w:t>2</w:t>
      </w:r>
      <w:r w:rsidRPr="00E714CC">
        <w:rPr>
          <w:rFonts w:ascii="Times New Roman" w:eastAsia="Times New Roman" w:hAnsi="Times New Roman" w:cs="Times New Roman"/>
          <w:lang w:val="en-US" w:eastAsia="fr-FR"/>
        </w:rPr>
        <w:t>), “</w:t>
      </w:r>
      <w:r>
        <w:rPr>
          <w:rFonts w:ascii="Times New Roman" w:eastAsia="Times New Roman" w:hAnsi="Times New Roman" w:cs="Times New Roman"/>
          <w:lang w:val="en-US" w:eastAsia="fr-FR"/>
        </w:rPr>
        <w:t xml:space="preserve">Integration if global value chains might not increase exposure to risk after all”, </w:t>
      </w:r>
      <w:r w:rsidR="00B4727C">
        <w:rPr>
          <w:rFonts w:ascii="Times New Roman" w:eastAsia="Times New Roman" w:hAnsi="Times New Roman" w:cs="Times New Roman"/>
          <w:lang w:val="en-US" w:eastAsia="fr-FR"/>
        </w:rPr>
        <w:t xml:space="preserve">VoxEU.org, </w:t>
      </w:r>
      <w:r>
        <w:rPr>
          <w:rFonts w:ascii="Times New Roman" w:eastAsia="Times New Roman" w:hAnsi="Times New Roman" w:cs="Times New Roman"/>
          <w:lang w:val="en-US" w:eastAsia="fr-FR"/>
        </w:rPr>
        <w:t>March 1</w:t>
      </w:r>
      <w:r w:rsidRPr="00E714CC">
        <w:rPr>
          <w:rFonts w:ascii="Times New Roman" w:eastAsia="Times New Roman" w:hAnsi="Times New Roman" w:cs="Times New Roman"/>
          <w:vertAlign w:val="superscript"/>
          <w:lang w:val="en-US" w:eastAsia="fr-FR"/>
        </w:rPr>
        <w:t>st</w:t>
      </w:r>
      <w:r>
        <w:rPr>
          <w:rFonts w:ascii="Times New Roman" w:eastAsia="Times New Roman" w:hAnsi="Times New Roman" w:cs="Times New Roman"/>
          <w:lang w:val="en-US" w:eastAsia="fr-FR"/>
        </w:rPr>
        <w:t xml:space="preserve"> (</w:t>
      </w:r>
      <w:r w:rsidRPr="00E714CC">
        <w:rPr>
          <w:rFonts w:ascii="Times New Roman" w:eastAsia="Times New Roman" w:hAnsi="Times New Roman" w:cs="Times New Roman"/>
          <w:lang w:val="en-US" w:eastAsia="fr-FR"/>
        </w:rPr>
        <w:t>https://voxeu.org/article/integration-global-value-chains-might-not-increase-exposure-risk-after-all</w:t>
      </w:r>
      <w:r>
        <w:rPr>
          <w:rFonts w:ascii="Times New Roman" w:eastAsia="Times New Roman" w:hAnsi="Times New Roman" w:cs="Times New Roman"/>
          <w:lang w:val="en-US" w:eastAsia="fr-FR"/>
        </w:rPr>
        <w:t>)</w:t>
      </w:r>
    </w:p>
    <w:p w:rsidR="00E714CC" w:rsidRDefault="00E714CC" w:rsidP="00E714CC">
      <w:pPr>
        <w:rPr>
          <w:lang w:val="en-US"/>
        </w:rPr>
      </w:pPr>
    </w:p>
    <w:p w:rsidR="006A444E" w:rsidRDefault="006A444E" w:rsidP="00E714CC">
      <w:pPr>
        <w:rPr>
          <w:lang w:val="en-US"/>
        </w:rPr>
      </w:pPr>
    </w:p>
    <w:p w:rsidR="006A444E" w:rsidRDefault="006A444E" w:rsidP="00E714CC">
      <w:pPr>
        <w:rPr>
          <w:lang w:val="en-US"/>
        </w:rPr>
      </w:pPr>
    </w:p>
    <w:p w:rsidR="006A444E" w:rsidRPr="006A444E" w:rsidRDefault="006A444E" w:rsidP="006A444E">
      <w:pPr>
        <w:rPr>
          <w:lang w:val="en-US"/>
        </w:rPr>
      </w:pPr>
      <w:r w:rsidRPr="006A444E">
        <w:rPr>
          <w:lang w:val="en-US"/>
        </w:rPr>
        <w:t xml:space="preserve">Boz, E, C Casas, G Georgiadis, G Gopinath, H Le </w:t>
      </w:r>
      <w:proofErr w:type="spellStart"/>
      <w:r w:rsidRPr="006A444E">
        <w:rPr>
          <w:lang w:val="en-US"/>
        </w:rPr>
        <w:t>Mezo</w:t>
      </w:r>
      <w:proofErr w:type="spellEnd"/>
      <w:r w:rsidRPr="006A444E">
        <w:rPr>
          <w:lang w:val="en-US"/>
        </w:rPr>
        <w:t xml:space="preserve">, A </w:t>
      </w:r>
      <w:proofErr w:type="spellStart"/>
      <w:r w:rsidRPr="006A444E">
        <w:rPr>
          <w:lang w:val="en-US"/>
        </w:rPr>
        <w:t>Mehl</w:t>
      </w:r>
      <w:proofErr w:type="spellEnd"/>
      <w:r w:rsidRPr="006A444E">
        <w:rPr>
          <w:lang w:val="en-US"/>
        </w:rPr>
        <w:t>, and T Nguyen (2020), “Patterns in invoicing currency in global trade”, VoxEU.org, 9 October.</w:t>
      </w:r>
    </w:p>
    <w:p w:rsidR="006A444E" w:rsidRPr="006A444E" w:rsidRDefault="006A444E" w:rsidP="006A444E">
      <w:pPr>
        <w:rPr>
          <w:lang w:val="en-US"/>
        </w:rPr>
      </w:pPr>
      <w:proofErr w:type="gramStart"/>
      <w:r w:rsidRPr="006A444E">
        <w:rPr>
          <w:lang w:val="en-US"/>
        </w:rPr>
        <w:t>Boz,  E</w:t>
      </w:r>
      <w:proofErr w:type="gramEnd"/>
      <w:r w:rsidRPr="006A444E">
        <w:rPr>
          <w:lang w:val="en-US"/>
        </w:rPr>
        <w:t xml:space="preserve">, G Gopinath and M </w:t>
      </w:r>
      <w:proofErr w:type="spellStart"/>
      <w:r w:rsidRPr="006A444E">
        <w:rPr>
          <w:lang w:val="en-US"/>
        </w:rPr>
        <w:t>Plagborg</w:t>
      </w:r>
      <w:proofErr w:type="spellEnd"/>
      <w:r w:rsidRPr="006A444E">
        <w:rPr>
          <w:lang w:val="en-US"/>
        </w:rPr>
        <w:t>-Moller (2018), “Global trade and the dollar”, VoxEU.org, 11 February.</w:t>
      </w:r>
    </w:p>
    <w:p w:rsidR="006A444E" w:rsidRPr="006A444E" w:rsidRDefault="006A444E" w:rsidP="006A444E">
      <w:pPr>
        <w:rPr>
          <w:lang w:val="en-US"/>
        </w:rPr>
      </w:pPr>
      <w:proofErr w:type="spellStart"/>
      <w:r w:rsidRPr="006A444E">
        <w:rPr>
          <w:lang w:val="en-US"/>
        </w:rPr>
        <w:t>Camatte</w:t>
      </w:r>
      <w:proofErr w:type="spellEnd"/>
      <w:r w:rsidRPr="006A444E">
        <w:rPr>
          <w:lang w:val="en-US"/>
        </w:rPr>
        <w:t xml:space="preserve">, H, G </w:t>
      </w:r>
      <w:proofErr w:type="spellStart"/>
      <w:r w:rsidRPr="006A444E">
        <w:rPr>
          <w:lang w:val="en-US"/>
        </w:rPr>
        <w:t>Daudin</w:t>
      </w:r>
      <w:proofErr w:type="spellEnd"/>
      <w:r w:rsidRPr="006A444E">
        <w:rPr>
          <w:lang w:val="en-US"/>
        </w:rPr>
        <w:t xml:space="preserve">, V </w:t>
      </w:r>
      <w:proofErr w:type="spellStart"/>
      <w:r w:rsidRPr="006A444E">
        <w:rPr>
          <w:lang w:val="en-US"/>
        </w:rPr>
        <w:t>Faubert</w:t>
      </w:r>
      <w:proofErr w:type="spellEnd"/>
      <w:r w:rsidRPr="006A444E">
        <w:rPr>
          <w:lang w:val="en-US"/>
        </w:rPr>
        <w:t xml:space="preserve">, A </w:t>
      </w:r>
      <w:proofErr w:type="spellStart"/>
      <w:r w:rsidRPr="006A444E">
        <w:rPr>
          <w:lang w:val="en-US"/>
        </w:rPr>
        <w:t>Lalliard</w:t>
      </w:r>
      <w:proofErr w:type="spellEnd"/>
      <w:r w:rsidRPr="006A444E">
        <w:rPr>
          <w:lang w:val="en-US"/>
        </w:rPr>
        <w:t xml:space="preserve"> and C </w:t>
      </w:r>
      <w:proofErr w:type="spellStart"/>
      <w:r w:rsidRPr="006A444E">
        <w:rPr>
          <w:lang w:val="en-US"/>
        </w:rPr>
        <w:t>Rifflart</w:t>
      </w:r>
      <w:proofErr w:type="spellEnd"/>
      <w:r w:rsidRPr="006A444E">
        <w:rPr>
          <w:lang w:val="en-US"/>
        </w:rPr>
        <w:t xml:space="preserve"> (2021), "Estimating the elasticity of consumer prices to the exchange rate: an accounting approach", ECB Working Paper No 2610 / October 2021.</w:t>
      </w:r>
    </w:p>
    <w:p w:rsidR="006A444E" w:rsidRPr="00E714CC" w:rsidRDefault="006A444E" w:rsidP="006A444E">
      <w:pPr>
        <w:rPr>
          <w:lang w:val="en-US"/>
        </w:rPr>
      </w:pPr>
      <w:r w:rsidRPr="006A444E">
        <w:rPr>
          <w:lang w:val="en-US"/>
        </w:rPr>
        <w:t xml:space="preserve">Timmer, M. P., Los, B., </w:t>
      </w:r>
      <w:proofErr w:type="spellStart"/>
      <w:r w:rsidRPr="006A444E">
        <w:rPr>
          <w:lang w:val="en-US"/>
        </w:rPr>
        <w:t>Stehrer</w:t>
      </w:r>
      <w:proofErr w:type="spellEnd"/>
      <w:r w:rsidRPr="006A444E">
        <w:rPr>
          <w:lang w:val="en-US"/>
        </w:rPr>
        <w:t>, R., and de Vries, G. J. (2016), "An Anatomy of the Global Trade Slowdown based on the WIOD 2016 Release," Technical report.</w:t>
      </w:r>
    </w:p>
    <w:sectPr w:rsidR="006A444E" w:rsidRPr="00E714CC" w:rsidSect="00910B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CC"/>
    <w:rsid w:val="000041E9"/>
    <w:rsid w:val="000A2D33"/>
    <w:rsid w:val="001D7416"/>
    <w:rsid w:val="006A444E"/>
    <w:rsid w:val="00910BA2"/>
    <w:rsid w:val="00A134DD"/>
    <w:rsid w:val="00A97CC0"/>
    <w:rsid w:val="00B4727C"/>
    <w:rsid w:val="00E714CC"/>
    <w:rsid w:val="00F91F66"/>
    <w:rsid w:val="00FF29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1B4503C"/>
  <w15:chartTrackingRefBased/>
  <w15:docId w15:val="{CBF9F8C5-4E6D-114C-A340-93B6045F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14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14C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F293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29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17481">
      <w:bodyDiv w:val="1"/>
      <w:marLeft w:val="0"/>
      <w:marRight w:val="0"/>
      <w:marTop w:val="0"/>
      <w:marBottom w:val="0"/>
      <w:divBdr>
        <w:top w:val="none" w:sz="0" w:space="0" w:color="auto"/>
        <w:left w:val="none" w:sz="0" w:space="0" w:color="auto"/>
        <w:bottom w:val="none" w:sz="0" w:space="0" w:color="auto"/>
        <w:right w:val="none" w:sz="0" w:space="0" w:color="auto"/>
      </w:divBdr>
    </w:div>
    <w:div w:id="631987174">
      <w:bodyDiv w:val="1"/>
      <w:marLeft w:val="0"/>
      <w:marRight w:val="0"/>
      <w:marTop w:val="0"/>
      <w:marBottom w:val="0"/>
      <w:divBdr>
        <w:top w:val="none" w:sz="0" w:space="0" w:color="auto"/>
        <w:left w:val="none" w:sz="0" w:space="0" w:color="auto"/>
        <w:bottom w:val="none" w:sz="0" w:space="0" w:color="auto"/>
        <w:right w:val="none" w:sz="0" w:space="0" w:color="auto"/>
      </w:divBdr>
    </w:div>
    <w:div w:id="19571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486</Words>
  <Characters>2674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DAUDIN</dc:creator>
  <cp:keywords/>
  <dc:description/>
  <cp:lastModifiedBy>Guillaume DAUDIN</cp:lastModifiedBy>
  <cp:revision>2</cp:revision>
  <dcterms:created xsi:type="dcterms:W3CDTF">2022-04-26T08:23:00Z</dcterms:created>
  <dcterms:modified xsi:type="dcterms:W3CDTF">2022-04-26T19:21:00Z</dcterms:modified>
</cp:coreProperties>
</file>