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240C67" w:rsidRDefault="00240C6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07DF4" w:rsidRPr="006C08EF"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 xml:space="preserve">World Input-Output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w:t>
      </w:r>
      <w:r w:rsidR="00BD5A60" w:rsidRPr="006C08EF">
        <w:rPr>
          <w:rFonts w:ascii="Times New Roman" w:hAnsi="Times New Roman" w:cs="Times New Roman"/>
          <w:sz w:val="24"/>
          <w:szCs w:val="24"/>
          <w:lang w:val="en-US"/>
        </w:rPr>
        <w:lastRenderedPageBreak/>
        <w:t>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r w:rsidR="00A91805">
        <w:rPr>
          <w:rFonts w:ascii="Times New Roman" w:hAnsi="Times New Roman" w:cs="Times New Roman"/>
          <w:sz w:val="24"/>
          <w:szCs w:val="24"/>
          <w:lang w:val="en-US"/>
        </w:rPr>
        <w:t xml:space="preserve"> by mapping detailed six-digit products based on extensive product description (see </w:t>
      </w:r>
      <w:proofErr w:type="spellStart"/>
      <w:r w:rsidR="00A91805">
        <w:rPr>
          <w:rFonts w:ascii="Times New Roman" w:hAnsi="Times New Roman" w:cs="Times New Roman"/>
          <w:sz w:val="24"/>
          <w:szCs w:val="24"/>
          <w:lang w:val="en-US"/>
        </w:rPr>
        <w:t>Dietzenbacher</w:t>
      </w:r>
      <w:proofErr w:type="spellEnd"/>
      <w:r w:rsidR="00A91805">
        <w:rPr>
          <w:rFonts w:ascii="Times New Roman" w:hAnsi="Times New Roman" w:cs="Times New Roman"/>
          <w:sz w:val="24"/>
          <w:szCs w:val="24"/>
          <w:lang w:val="en-US"/>
        </w:rPr>
        <w:t xml:space="preserve"> et al. 2013)</w:t>
      </w:r>
      <w:r w:rsidR="00BD5A60" w:rsidRPr="006C08EF">
        <w:rPr>
          <w:rFonts w:ascii="Times New Roman" w:hAnsi="Times New Roman" w:cs="Times New Roman"/>
          <w:sz w:val="24"/>
          <w:szCs w:val="24"/>
          <w:lang w:val="en-US"/>
        </w:rPr>
        <w: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560ABA" w:rsidP="00C830AD">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3.1 </w:t>
      </w:r>
      <w:r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not been adapted </w:t>
      </w:r>
      <w:r w:rsidRPr="00F71CDF">
        <w:rPr>
          <w:rFonts w:ascii="Times New Roman" w:hAnsi="Times New Roman" w:cs="Times New Roman"/>
          <w:sz w:val="24"/>
          <w:szCs w:val="24"/>
          <w:lang w:val="en-US"/>
        </w:rPr>
        <w:t xml:space="preserve">in an international context.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 are assumed to have no margin behavior.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w:t>
      </w:r>
      <w:r w:rsidR="00CC4486">
        <w:rPr>
          <w:rFonts w:ascii="Times New Roman" w:hAnsi="Times New Roman" w:cs="Times New Roman"/>
          <w:sz w:val="24"/>
          <w:szCs w:val="24"/>
          <w:lang w:val="en-US"/>
        </w:rPr>
        <w:t xml:space="preserve">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within multinational firms, we consider here a unique pricing system based on market 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240C6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3.2 </w:t>
      </w:r>
      <w:r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w:t>
      </w:r>
      <w:r w:rsidR="00EA7187">
        <w:rPr>
          <w:rFonts w:ascii="Times New Roman" w:eastAsiaTheme="minorEastAsia" w:hAnsi="Times New Roman" w:cs="Times New Roman"/>
          <w:sz w:val="24"/>
          <w:szCs w:val="24"/>
          <w:lang w:val="en-US"/>
        </w:rPr>
        <w:t>,n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 xml:space="preserve">factor incomes </w:t>
      </w:r>
      <w:r w:rsidR="00EA7187">
        <w:rPr>
          <w:rFonts w:ascii="Times New Roman" w:eastAsiaTheme="minorEastAsia" w:hAnsi="Times New Roman" w:cs="Times New Roman"/>
          <w:sz w:val="24"/>
          <w:szCs w:val="24"/>
          <w:lang w:val="en-US"/>
        </w:rPr>
        <w:t>of dimension (1,n)</w:t>
      </w:r>
      <w:r w:rsidR="00EA7187">
        <w:rPr>
          <w:rFonts w:ascii="Times New Roman" w:eastAsiaTheme="minorEastAsia" w:hAnsi="Times New Roman" w:cs="Times New Roman"/>
          <w:sz w:val="24"/>
          <w:szCs w:val="24"/>
          <w:lang w:val="en-US"/>
        </w:rPr>
        <w:t>.</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w:t>
      </w:r>
      <w:r w:rsidRPr="00FF603B">
        <w:rPr>
          <w:rFonts w:ascii="Times New Roman" w:hAnsi="Times New Roman" w:cs="Times New Roman"/>
          <w:sz w:val="24"/>
          <w:szCs w:val="24"/>
          <w:lang w:val="en-US"/>
        </w:rPr>
        <w:t xml:space="preserve">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w:t>
      </w:r>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the shock vector of dimension </w:t>
      </w:r>
      <w:r w:rsidRPr="00FF603B">
        <w:rPr>
          <w:rFonts w:ascii="Times New Roman" w:hAnsi="Times New Roman" w:cs="Times New Roman"/>
          <w:sz w:val="24"/>
          <w:szCs w:val="24"/>
          <w:lang w:val="en-US"/>
        </w:rPr>
        <w:t>(1,n)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w:t>
      </w:r>
      <w:proofErr w:type="gramStart"/>
      <w:r w:rsidRPr="00FC645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higher 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w:t>
      </w:r>
      <w:r w:rsidRPr="00FC645C">
        <w:rPr>
          <w:rFonts w:ascii="Times New Roman" w:hAnsi="Times New Roman" w:cs="Times New Roman"/>
          <w:sz w:val="24"/>
          <w:szCs w:val="24"/>
          <w:lang w:val="en-US"/>
        </w:rPr>
        <w:t>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roofErr w:type="gramEnd"/>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w:t>
      </w:r>
      <w:r>
        <w:rPr>
          <w:rFonts w:ascii="Times New Roman" w:hAnsi="Times New Roman" w:cs="Times New Roman"/>
          <w:sz w:val="24"/>
          <w:szCs w:val="24"/>
          <w:lang w:val="en-US"/>
        </w:rPr>
        <w:t>second</w:t>
      </w:r>
      <w:r>
        <w:rPr>
          <w:rFonts w:ascii="Times New Roman" w:hAnsi="Times New Roman" w:cs="Times New Roman"/>
          <w:sz w:val="24"/>
          <w:szCs w:val="24"/>
          <w:lang w:val="en-US"/>
        </w:rPr>
        <w:t xml:space="preserve"> step,</w:t>
      </w:r>
      <w:r>
        <w:rPr>
          <w:rFonts w:ascii="Times New Roman" w:hAnsi="Times New Roman" w:cs="Times New Roman"/>
          <w:sz w:val="24"/>
          <w:szCs w:val="24"/>
          <w:lang w:val="en-US"/>
        </w:rPr>
        <w:t xml:space="preserve">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bookmarkStart w:id="0" w:name="_GoBack"/>
      <w:bookmarkEnd w:id="0"/>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r w:rsidR="00965816">
        <w:rPr>
          <w:rFonts w:ascii="Times New Roman" w:hAnsi="Times New Roman" w:cs="Times New Roman"/>
          <w:sz w:val="24"/>
          <w:szCs w:val="24"/>
          <w:lang w:val="en-US"/>
        </w:rPr>
        <w:t>.</w:t>
      </w:r>
    </w:p>
    <w:p w:rsidR="00493DEC" w:rsidRPr="00BA0347"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Pr="006C08EF" w:rsidRDefault="00705CB2"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965816" w:rsidP="0029394B">
      <w:pPr>
        <w:jc w:val="both"/>
        <w:rPr>
          <w:rFonts w:ascii="Times New Roman" w:hAnsi="Times New Roman" w:cs="Times New Roman"/>
          <w:sz w:val="24"/>
          <w:szCs w:val="24"/>
          <w:lang w:val="en-US"/>
        </w:rPr>
      </w:pPr>
      <w:hyperlink r:id="rId8"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965816" w:rsidP="0029394B">
      <w:pPr>
        <w:jc w:val="both"/>
        <w:rPr>
          <w:rFonts w:ascii="Times New Roman" w:hAnsi="Times New Roman" w:cs="Times New Roman"/>
          <w:sz w:val="24"/>
          <w:szCs w:val="24"/>
          <w:lang w:val="en-US"/>
        </w:rPr>
      </w:pPr>
      <w:hyperlink r:id="rId9"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965816" w:rsidP="0029394B">
      <w:pPr>
        <w:jc w:val="both"/>
        <w:rPr>
          <w:rFonts w:ascii="Times New Roman" w:hAnsi="Times New Roman" w:cs="Times New Roman"/>
          <w:sz w:val="24"/>
          <w:szCs w:val="24"/>
          <w:lang w:val="en-US"/>
        </w:rPr>
      </w:pPr>
      <w:hyperlink r:id="rId10"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C67" w:rsidRDefault="00240C67" w:rsidP="00240C67">
      <w:pPr>
        <w:spacing w:after="0" w:line="240" w:lineRule="auto"/>
      </w:pPr>
      <w:r>
        <w:separator/>
      </w:r>
    </w:p>
  </w:endnote>
  <w:endnote w:type="continuationSeparator" w:id="0">
    <w:p w:rsidR="00240C67" w:rsidRDefault="00240C67"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EndPr/>
    <w:sdtContent>
      <w:p w:rsidR="00240C67" w:rsidRDefault="00240C67">
        <w:pPr>
          <w:pStyle w:val="Pieddepage"/>
          <w:jc w:val="center"/>
        </w:pPr>
        <w:r>
          <w:fldChar w:fldCharType="begin"/>
        </w:r>
        <w:r>
          <w:instrText>PAGE   \* MERGEFORMAT</w:instrText>
        </w:r>
        <w:r>
          <w:fldChar w:fldCharType="separate"/>
        </w:r>
        <w:r w:rsidR="00965816">
          <w:rPr>
            <w:noProof/>
          </w:rPr>
          <w:t>5</w:t>
        </w:r>
        <w:r>
          <w:fldChar w:fldCharType="end"/>
        </w:r>
      </w:p>
    </w:sdtContent>
  </w:sdt>
  <w:p w:rsidR="00240C67" w:rsidRDefault="00240C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C67" w:rsidRDefault="00240C67" w:rsidP="00240C67">
      <w:pPr>
        <w:spacing w:after="0" w:line="240" w:lineRule="auto"/>
      </w:pPr>
      <w:r>
        <w:separator/>
      </w:r>
    </w:p>
  </w:footnote>
  <w:footnote w:type="continuationSeparator" w:id="0">
    <w:p w:rsidR="00240C67" w:rsidRDefault="00240C67" w:rsidP="00240C67">
      <w:pPr>
        <w:spacing w:after="0" w:line="240" w:lineRule="auto"/>
      </w:pPr>
      <w:r>
        <w:continuationSeparator/>
      </w:r>
    </w:p>
  </w:footnote>
  <w:footnote w:id="1">
    <w:p w:rsidR="00C80829" w:rsidRPr="00220720" w:rsidRDefault="00C80829"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C80829" w:rsidRPr="00220720" w:rsidRDefault="00C80829"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C80829" w:rsidRPr="00220720" w:rsidRDefault="00C80829" w:rsidP="00C80829">
      <w:pPr>
        <w:pStyle w:val="Notedebasdepage"/>
      </w:pPr>
      <w:r>
        <w:t xml:space="preserve">PSL, IRD, DIAL UMR IRD 225, </w:t>
      </w:r>
      <w:r w:rsidRPr="00220720">
        <w:t xml:space="preserve">75016 Paris, </w:t>
      </w:r>
      <w:r>
        <w:t>France.</w:t>
      </w:r>
    </w:p>
    <w:p w:rsidR="00C80829" w:rsidRPr="00220720" w:rsidRDefault="00C80829" w:rsidP="00C80829">
      <w:pPr>
        <w:pStyle w:val="Notedebasdepage"/>
      </w:pPr>
      <w:r w:rsidRPr="00220720">
        <w:t>Sciences</w:t>
      </w:r>
      <w:r>
        <w:t xml:space="preserve"> Po, OFCE, </w:t>
      </w:r>
      <w:r w:rsidRPr="00220720">
        <w:t xml:space="preserve">75007 Paris, </w:t>
      </w:r>
      <w:r>
        <w:t>France.</w:t>
      </w:r>
    </w:p>
  </w:footnote>
  <w:footnote w:id="3">
    <w:p w:rsidR="00CC4486" w:rsidRPr="00220720" w:rsidRDefault="00CC4486" w:rsidP="00CC4486">
      <w:pPr>
        <w:pStyle w:val="Notedebasdepage"/>
      </w:pPr>
      <w:r w:rsidRPr="00121539">
        <w:rPr>
          <w:rStyle w:val="Appelnotedebasdep"/>
        </w:rPr>
        <w:footnoteRef/>
      </w:r>
      <w:r w:rsidRPr="00220720">
        <w:t xml:space="preserve"> Banque de France</w:t>
      </w:r>
      <w:r>
        <w:t>.</w:t>
      </w:r>
    </w:p>
  </w:footnote>
  <w:footnote w:id="4">
    <w:p w:rsidR="00CC4486" w:rsidRPr="00220720" w:rsidRDefault="00CC4486" w:rsidP="00CC4486">
      <w:pPr>
        <w:pStyle w:val="Notedebasdepage"/>
      </w:pPr>
      <w:r w:rsidRPr="00121539">
        <w:rPr>
          <w:rStyle w:val="Appelnotedebasdep"/>
        </w:rPr>
        <w:footnoteRef/>
      </w:r>
      <w:r>
        <w:t xml:space="preserve"> Banque de 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31BA9"/>
    <w:rsid w:val="001D55F9"/>
    <w:rsid w:val="00240C67"/>
    <w:rsid w:val="00254BEE"/>
    <w:rsid w:val="00274008"/>
    <w:rsid w:val="0029394B"/>
    <w:rsid w:val="002A686D"/>
    <w:rsid w:val="002B571E"/>
    <w:rsid w:val="003B6F9B"/>
    <w:rsid w:val="003E31AA"/>
    <w:rsid w:val="00406213"/>
    <w:rsid w:val="00407DF4"/>
    <w:rsid w:val="004458B3"/>
    <w:rsid w:val="00493DEC"/>
    <w:rsid w:val="004A1CAA"/>
    <w:rsid w:val="004E3E33"/>
    <w:rsid w:val="00503248"/>
    <w:rsid w:val="00514357"/>
    <w:rsid w:val="00543B37"/>
    <w:rsid w:val="00556BDF"/>
    <w:rsid w:val="00560ABA"/>
    <w:rsid w:val="005A01E2"/>
    <w:rsid w:val="005A4C2C"/>
    <w:rsid w:val="006B5C8B"/>
    <w:rsid w:val="006C08EF"/>
    <w:rsid w:val="006C6ABD"/>
    <w:rsid w:val="006D52CE"/>
    <w:rsid w:val="00705CB2"/>
    <w:rsid w:val="007B0DFD"/>
    <w:rsid w:val="00837382"/>
    <w:rsid w:val="00865CD1"/>
    <w:rsid w:val="008B59EA"/>
    <w:rsid w:val="008C4735"/>
    <w:rsid w:val="00900F3A"/>
    <w:rsid w:val="00906B88"/>
    <w:rsid w:val="00965816"/>
    <w:rsid w:val="009721C1"/>
    <w:rsid w:val="0097412C"/>
    <w:rsid w:val="009B4A31"/>
    <w:rsid w:val="00A62EBD"/>
    <w:rsid w:val="00A63A8A"/>
    <w:rsid w:val="00A671D3"/>
    <w:rsid w:val="00A91805"/>
    <w:rsid w:val="00AC4514"/>
    <w:rsid w:val="00BA0347"/>
    <w:rsid w:val="00BB7F5F"/>
    <w:rsid w:val="00BD5A60"/>
    <w:rsid w:val="00C80829"/>
    <w:rsid w:val="00C830AD"/>
    <w:rsid w:val="00CC4486"/>
    <w:rsid w:val="00D0758A"/>
    <w:rsid w:val="00E92452"/>
    <w:rsid w:val="00EA7187"/>
    <w:rsid w:val="00EC21FF"/>
    <w:rsid w:val="00ED5A99"/>
    <w:rsid w:val="00ED6644"/>
    <w:rsid w:val="00F436FA"/>
    <w:rsid w:val="00F71CDF"/>
    <w:rsid w:val="00FC645C"/>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b.europa.eu/pub/pdf/scpwps/ecb.wp2064.en.pdf?316eb4d64f21dfa80fc73d305bd284bd"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ecd.org/sti/ind/49894138.pdf" TargetMode="External"/><Relationship Id="rId4" Type="http://schemas.openxmlformats.org/officeDocument/2006/relationships/settings" Target="settings.xml"/><Relationship Id="rId9" Type="http://schemas.openxmlformats.org/officeDocument/2006/relationships/hyperlink" Target="https://www.ecb.europa.eu/pub/pdf/other/eb201602_article01.en.pdf?61d1a10be9740cc92a072a3e3d5c2dbb"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F1"/>
    <w:rsid w:val="00297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97FF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97F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3D4E0402.dotm</Template>
  <TotalTime>377</TotalTime>
  <Pages>6</Pages>
  <Words>2055</Words>
  <Characters>11304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28</cp:revision>
  <dcterms:created xsi:type="dcterms:W3CDTF">2017-12-07T15:46:00Z</dcterms:created>
  <dcterms:modified xsi:type="dcterms:W3CDTF">2017-12-21T16:27:00Z</dcterms:modified>
</cp:coreProperties>
</file>