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65" w:rsidRDefault="00315E65" w:rsidP="00315E65">
      <w:pPr>
        <w:spacing w:after="0"/>
      </w:pPr>
      <w:bookmarkStart w:id="0" w:name="_GoBack"/>
      <w:bookmarkEnd w:id="0"/>
      <w:r>
        <w:t>Service des Synthèses</w:t>
      </w:r>
      <w:r w:rsidR="00340632">
        <w:t xml:space="preserve"> de la DBDP</w:t>
      </w:r>
      <w:r w:rsidR="00946668">
        <w:tab/>
      </w:r>
      <w:r w:rsidR="00946668">
        <w:tab/>
      </w:r>
      <w:r w:rsidR="00946668">
        <w:tab/>
      </w:r>
      <w:r w:rsidR="00946668">
        <w:tab/>
      </w:r>
      <w:r w:rsidR="00946668">
        <w:tab/>
      </w:r>
      <w:r w:rsidR="00946668">
        <w:tab/>
        <w:t xml:space="preserve">29 septembre </w:t>
      </w:r>
      <w:r w:rsidR="007B3E76">
        <w:t>2015</w:t>
      </w:r>
    </w:p>
    <w:p w:rsidR="00315E65" w:rsidRDefault="004869B2" w:rsidP="00A40377">
      <w:pPr>
        <w:tabs>
          <w:tab w:val="center" w:pos="4536"/>
        </w:tabs>
        <w:spacing w:after="0"/>
      </w:pPr>
      <w:r>
        <w:t>CeVA 15-12</w:t>
      </w:r>
    </w:p>
    <w:p w:rsidR="00F50670" w:rsidRDefault="00315E65" w:rsidP="00F50670">
      <w:pPr>
        <w:spacing w:after="0"/>
      </w:pPr>
      <w:r w:rsidRPr="00530C58">
        <w:t>R. Cezar</w:t>
      </w:r>
    </w:p>
    <w:p w:rsidR="00F50670" w:rsidRDefault="00F50670" w:rsidP="00F50670">
      <w:pPr>
        <w:spacing w:after="0"/>
      </w:pPr>
    </w:p>
    <w:p w:rsidR="0084157C" w:rsidRDefault="0084157C" w:rsidP="00F50670">
      <w:pPr>
        <w:spacing w:after="0"/>
      </w:pPr>
    </w:p>
    <w:p w:rsidR="00315E65" w:rsidRPr="0055685E" w:rsidRDefault="00315E65" w:rsidP="00F50670">
      <w:pPr>
        <w:pStyle w:val="Titre1"/>
        <w:jc w:val="center"/>
        <w:rPr>
          <w:color w:val="auto"/>
        </w:rPr>
      </w:pPr>
      <w:r w:rsidRPr="0055685E">
        <w:rPr>
          <w:color w:val="auto"/>
        </w:rPr>
        <w:t>Présentation et comparaison des bases WIOD</w:t>
      </w:r>
      <w:r w:rsidR="00B26E47" w:rsidRPr="0055685E">
        <w:rPr>
          <w:color w:val="auto"/>
        </w:rPr>
        <w:t xml:space="preserve"> et TiVA</w:t>
      </w:r>
    </w:p>
    <w:p w:rsidR="00315E65" w:rsidRDefault="00315E65" w:rsidP="000A7573">
      <w:pPr>
        <w:spacing w:after="0"/>
      </w:pPr>
    </w:p>
    <w:p w:rsidR="000A7573" w:rsidRDefault="000A7573" w:rsidP="000A7573">
      <w:pPr>
        <w:spacing w:after="0"/>
      </w:pPr>
    </w:p>
    <w:p w:rsidR="0084157C" w:rsidRDefault="0084157C" w:rsidP="000A7573">
      <w:pPr>
        <w:spacing w:after="0"/>
      </w:pPr>
    </w:p>
    <w:tbl>
      <w:tblPr>
        <w:tblW w:w="92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96"/>
      </w:tblGrid>
      <w:tr w:rsidR="00B85408" w:rsidTr="004B00D1">
        <w:trPr>
          <w:trHeight w:val="5368"/>
        </w:trPr>
        <w:tc>
          <w:tcPr>
            <w:tcW w:w="9296" w:type="dxa"/>
          </w:tcPr>
          <w:p w:rsidR="00B85408" w:rsidRDefault="00B85408" w:rsidP="00B85408">
            <w:pPr>
              <w:pStyle w:val="Paragraphedeliste"/>
              <w:ind w:left="656" w:right="419"/>
            </w:pPr>
          </w:p>
          <w:p w:rsidR="00B85408" w:rsidRDefault="00DE0E8B" w:rsidP="000A7573">
            <w:pPr>
              <w:pStyle w:val="Paragraphedeliste"/>
              <w:ind w:left="656" w:right="579"/>
            </w:pPr>
            <w:r>
              <w:t>La base</w:t>
            </w:r>
            <w:r w:rsidR="00B85408">
              <w:t xml:space="preserve"> </w:t>
            </w:r>
            <w:r w:rsidR="00B85408" w:rsidRPr="009E5C27">
              <w:t>WIOD (Word Input-Output Database)</w:t>
            </w:r>
            <w:r w:rsidR="00B85408">
              <w:t xml:space="preserve"> est issu</w:t>
            </w:r>
            <w:r>
              <w:t>e</w:t>
            </w:r>
            <w:r w:rsidR="00B85408" w:rsidRPr="009E5C27">
              <w:t xml:space="preserve"> d’un consortium </w:t>
            </w:r>
            <w:r w:rsidR="00B85408">
              <w:t>d’</w:t>
            </w:r>
            <w:r w:rsidR="00B85408" w:rsidRPr="009E5C27">
              <w:t>institutions</w:t>
            </w:r>
            <w:r w:rsidR="005514A6">
              <w:t>,</w:t>
            </w:r>
            <w:r w:rsidR="00B85408" w:rsidRPr="009E5C27">
              <w:t xml:space="preserve"> financé</w:t>
            </w:r>
            <w:r w:rsidR="00B85408">
              <w:t xml:space="preserve"> par la Commission européenne.</w:t>
            </w:r>
            <w:r w:rsidR="00B85408" w:rsidRPr="009E5C27">
              <w:t xml:space="preserve"> </w:t>
            </w:r>
            <w:r w:rsidR="00B85408">
              <w:t>Les données TiVA (Trade in Value Added) sont</w:t>
            </w:r>
            <w:r w:rsidR="00B85408" w:rsidRPr="009E5C27">
              <w:t xml:space="preserve"> produite</w:t>
            </w:r>
            <w:r w:rsidR="00B85408">
              <w:t>s</w:t>
            </w:r>
            <w:r w:rsidR="00B85408" w:rsidRPr="009E5C27">
              <w:t xml:space="preserve"> par une initiative commune entre l’OCDE et l’OMC</w:t>
            </w:r>
            <w:r w:rsidR="00B85408">
              <w:t>. Les deux bases de données ont été développées comme un outil supplémentaire d’analyse de la globalisation, surtout pour la mesure du commerce en valeur ajoutée et des chaînes de valeur mondiales.</w:t>
            </w:r>
          </w:p>
          <w:p w:rsidR="00B85408" w:rsidRDefault="00B85408" w:rsidP="000A7573">
            <w:pPr>
              <w:pStyle w:val="Paragraphedeliste"/>
              <w:ind w:left="656" w:right="579" w:hanging="284"/>
            </w:pPr>
          </w:p>
          <w:p w:rsidR="00B85408" w:rsidRDefault="00B85408" w:rsidP="000A7573">
            <w:pPr>
              <w:pStyle w:val="Paragraphedeliste"/>
              <w:ind w:left="656" w:right="579"/>
            </w:pPr>
            <w:r w:rsidRPr="009E5C27">
              <w:t xml:space="preserve">WIOD </w:t>
            </w:r>
            <w:r>
              <w:t>publie des tableaux d’</w:t>
            </w:r>
            <w:r w:rsidRPr="009E5C27">
              <w:t>entrées-sorties internationaux</w:t>
            </w:r>
            <w:r>
              <w:t xml:space="preserve"> (TESI) à partir desquels toute</w:t>
            </w:r>
            <w:r w:rsidR="00DE0E8B">
              <w:t>s</w:t>
            </w:r>
            <w:r>
              <w:t xml:space="preserve"> sorte</w:t>
            </w:r>
            <w:r w:rsidR="00DE0E8B">
              <w:t>s</w:t>
            </w:r>
            <w:r>
              <w:t xml:space="preserve"> d’</w:t>
            </w:r>
            <w:r w:rsidRPr="009E5C27">
              <w:t xml:space="preserve">indicateurs </w:t>
            </w:r>
            <w:r>
              <w:t>de commerce peu</w:t>
            </w:r>
            <w:r w:rsidR="00DE0E8B">
              <w:t>ven</w:t>
            </w:r>
            <w:r>
              <w:t>t être calculé</w:t>
            </w:r>
            <w:r w:rsidR="00DE0E8B">
              <w:t>s</w:t>
            </w:r>
            <w:r w:rsidRPr="009E5C27">
              <w:t xml:space="preserve">. </w:t>
            </w:r>
            <w:r>
              <w:t>Ces</w:t>
            </w:r>
            <w:r w:rsidR="00DE0E8B">
              <w:t xml:space="preserve"> tables sont disponibles s</w:t>
            </w:r>
            <w:r>
              <w:t>ur 40 pays et 35 secteurs économiques entre 1995 et 2011. TiVA</w:t>
            </w:r>
            <w:r w:rsidRPr="009E5C27">
              <w:t xml:space="preserve"> publie </w:t>
            </w:r>
            <w:r>
              <w:t>directement 41 indicateurs de commerce extraits des TESI de l’OCDE (</w:t>
            </w:r>
            <w:r w:rsidR="00DE0E8B">
              <w:t xml:space="preserve">appelés </w:t>
            </w:r>
            <w:r>
              <w:t>ICIO) sur 61 pays et 34 secteurs pour les années 1995, 2000, 2005, 2008, 2009, 2010 e</w:t>
            </w:r>
            <w:r w:rsidR="00E723F7">
              <w:t xml:space="preserve">t 2011. Depuis la dernière mise </w:t>
            </w:r>
            <w:r>
              <w:t>à</w:t>
            </w:r>
            <w:r w:rsidR="00E723F7">
              <w:t xml:space="preserve"> </w:t>
            </w:r>
            <w:r>
              <w:t>jour du projet en 2015, les ICIO sont aussi publiés.</w:t>
            </w:r>
          </w:p>
          <w:p w:rsidR="00B85408" w:rsidRDefault="00B85408" w:rsidP="000A7573">
            <w:pPr>
              <w:pStyle w:val="Paragraphedeliste"/>
              <w:ind w:left="656" w:right="579" w:hanging="284"/>
            </w:pPr>
          </w:p>
          <w:p w:rsidR="00B85408" w:rsidRDefault="00B85408" w:rsidP="000A7573">
            <w:pPr>
              <w:pStyle w:val="Paragraphedeliste"/>
              <w:ind w:left="656" w:right="579"/>
            </w:pPr>
            <w:r>
              <w:t xml:space="preserve">Le point de départ de WIOD et TiVA est le même : la constitution de TESI à partir de tableaux d’entrées-sorties nationaux harmonisés. Mais les choix méthodologiques effectués par les deux projets différencient aussi bien leur couverture que les données qu’ils publient. Ces choix sont bien documentés pour le projet WIOD. Par contre, TiVA souffre encore d’un manque de transparence et la documentation mise à disposition </w:t>
            </w:r>
            <w:r w:rsidR="0023145F">
              <w:t xml:space="preserve">du </w:t>
            </w:r>
            <w:r w:rsidR="00D33387">
              <w:t>public est insuffisante</w:t>
            </w:r>
            <w:r>
              <w:rPr>
                <w:rStyle w:val="Appelnotedebasdep"/>
              </w:rPr>
              <w:footnoteReference w:id="1"/>
            </w:r>
            <w:r>
              <w:t>.</w:t>
            </w:r>
          </w:p>
          <w:p w:rsidR="00B85408" w:rsidRDefault="00B85408" w:rsidP="000A7573">
            <w:pPr>
              <w:pStyle w:val="Paragraphedeliste"/>
              <w:ind w:left="656" w:right="579" w:hanging="284"/>
            </w:pPr>
          </w:p>
          <w:p w:rsidR="00B85408" w:rsidRDefault="00B85408" w:rsidP="000A7573">
            <w:pPr>
              <w:pStyle w:val="Paragraphedeliste"/>
              <w:ind w:left="656" w:right="579"/>
            </w:pPr>
            <w:r>
              <w:t xml:space="preserve">La comparaison des données françaises brutes </w:t>
            </w:r>
            <w:r w:rsidR="00611516">
              <w:t>publiées par</w:t>
            </w:r>
            <w:r>
              <w:t xml:space="preserve"> WIOD, TiVA et </w:t>
            </w:r>
            <w:r w:rsidR="00611516">
              <w:t>par</w:t>
            </w:r>
            <w:r>
              <w:t xml:space="preserve"> la balance des paiements montre des différences dans la distribution sectorielle et dans la valeur nominale des flux commerciaux. L’évolution des indicateurs reste néanmoins semblable entre les trois bases jusqu’à 2008. À partir de cette année, un décalage s’établit entre les deux nouvelles bases</w:t>
            </w:r>
            <w:r w:rsidR="00D25386">
              <w:t>, d’un côté,</w:t>
            </w:r>
            <w:r>
              <w:t xml:space="preserve"> et les données de balance</w:t>
            </w:r>
            <w:r w:rsidR="00D25386">
              <w:t>, d’un autre</w:t>
            </w:r>
            <w:r>
              <w:t>. Les tendances restent néanmoins convergentes.</w:t>
            </w:r>
          </w:p>
          <w:p w:rsidR="00B85408" w:rsidRDefault="00B85408" w:rsidP="00B85408">
            <w:pPr>
              <w:ind w:right="419"/>
            </w:pPr>
          </w:p>
        </w:tc>
      </w:tr>
    </w:tbl>
    <w:p w:rsidR="00F50670" w:rsidRDefault="00F50670" w:rsidP="00315E65"/>
    <w:p w:rsidR="00174A13" w:rsidRDefault="00174A13">
      <w:pPr>
        <w:spacing w:after="200" w:line="276" w:lineRule="auto"/>
        <w:jc w:val="left"/>
      </w:pPr>
    </w:p>
    <w:p w:rsidR="00315E65" w:rsidRPr="00CA4B55" w:rsidRDefault="00315E65" w:rsidP="006A3669">
      <w:pPr>
        <w:pStyle w:val="Paragraphedeliste"/>
        <w:numPr>
          <w:ilvl w:val="0"/>
          <w:numId w:val="1"/>
        </w:numPr>
        <w:spacing w:line="276" w:lineRule="auto"/>
        <w:rPr>
          <w:b/>
          <w:u w:val="single"/>
        </w:rPr>
      </w:pPr>
      <w:r w:rsidRPr="00CA4B55">
        <w:rPr>
          <w:b/>
          <w:u w:val="single"/>
        </w:rPr>
        <w:t>Introduction</w:t>
      </w:r>
    </w:p>
    <w:p w:rsidR="00665654" w:rsidRDefault="00315E65" w:rsidP="006A3669">
      <w:pPr>
        <w:spacing w:line="276" w:lineRule="auto"/>
      </w:pPr>
      <w:r>
        <w:t xml:space="preserve">La </w:t>
      </w:r>
      <w:r w:rsidR="00174A13">
        <w:t>note a pour objectif de présenter</w:t>
      </w:r>
      <w:r>
        <w:t xml:space="preserve"> </w:t>
      </w:r>
      <w:r w:rsidR="00174A13">
        <w:t xml:space="preserve">les </w:t>
      </w:r>
      <w:r w:rsidR="00154F59">
        <w:t xml:space="preserve">deux </w:t>
      </w:r>
      <w:r>
        <w:t xml:space="preserve">principales bases </w:t>
      </w:r>
      <w:r w:rsidR="00154F59">
        <w:t xml:space="preserve">de données </w:t>
      </w:r>
      <w:r>
        <w:t xml:space="preserve">disponibles pour </w:t>
      </w:r>
      <w:r w:rsidR="00174A13">
        <w:t>mesurer le</w:t>
      </w:r>
      <w:r>
        <w:t xml:space="preserve"> commerce international en valeur ajoutée</w:t>
      </w:r>
      <w:r w:rsidR="00174A13">
        <w:t xml:space="preserve"> et les chaînes de valeur mondiales</w:t>
      </w:r>
      <w:r w:rsidR="002356DF">
        <w:t>. C</w:t>
      </w:r>
      <w:r w:rsidR="00174A13">
        <w:t xml:space="preserve">es bases sont </w:t>
      </w:r>
      <w:r w:rsidR="00B26E47">
        <w:t>la base WIOD (</w:t>
      </w:r>
      <w:r w:rsidR="00B26E47" w:rsidRPr="0007353F">
        <w:t>Word Input-Output Database</w:t>
      </w:r>
      <w:r w:rsidR="00B26E47">
        <w:t xml:space="preserve">), issue d’un consortium constitué d’onze </w:t>
      </w:r>
      <w:r w:rsidR="002356DF">
        <w:t xml:space="preserve">institutions publiques </w:t>
      </w:r>
      <w:r w:rsidR="002356DF">
        <w:lastRenderedPageBreak/>
        <w:t>et privé</w:t>
      </w:r>
      <w:r w:rsidR="00E723F7">
        <w:t>e</w:t>
      </w:r>
      <w:r w:rsidR="00B26E47">
        <w:t>s, financé par la Commission européenne</w:t>
      </w:r>
      <w:r w:rsidR="00B26E47">
        <w:rPr>
          <w:rStyle w:val="Appelnotedebasdep"/>
        </w:rPr>
        <w:footnoteReference w:id="2"/>
      </w:r>
      <w:r w:rsidR="00B26E47">
        <w:t xml:space="preserve"> ; et </w:t>
      </w:r>
      <w:r w:rsidR="00154F59">
        <w:t xml:space="preserve">la base </w:t>
      </w:r>
      <w:r>
        <w:t>TiVA (</w:t>
      </w:r>
      <w:r w:rsidRPr="0007353F">
        <w:t>Trade in Value Added</w:t>
      </w:r>
      <w:r>
        <w:t xml:space="preserve">), </w:t>
      </w:r>
      <w:r w:rsidR="00154F59">
        <w:t>produite</w:t>
      </w:r>
      <w:r>
        <w:t xml:space="preserve"> par un </w:t>
      </w:r>
      <w:r w:rsidR="0001009F">
        <w:t xml:space="preserve">partenariat </w:t>
      </w:r>
      <w:r w:rsidR="00174A13">
        <w:t>entre l’OCDE et l’OMC</w:t>
      </w:r>
      <w:r w:rsidR="001358E9">
        <w:t>,</w:t>
      </w:r>
      <w:r w:rsidR="0007353F" w:rsidRPr="0007353F">
        <w:t xml:space="preserve"> </w:t>
      </w:r>
      <w:r w:rsidR="0007353F">
        <w:t>et dont une nouvelle version a été mise en ligne récemment (5 juin 2015)</w:t>
      </w:r>
      <w:r w:rsidR="00665654">
        <w:t>.</w:t>
      </w:r>
      <w:r w:rsidR="00B26E47">
        <w:t xml:space="preserve"> </w:t>
      </w:r>
      <w:r w:rsidR="0007353F">
        <w:t>L</w:t>
      </w:r>
      <w:r w:rsidR="00154F59">
        <w:t xml:space="preserve">a note vise </w:t>
      </w:r>
      <w:r w:rsidR="0007353F">
        <w:t xml:space="preserve">également </w:t>
      </w:r>
      <w:r w:rsidR="00154F59">
        <w:t xml:space="preserve">à comparer les indicateurs issus des deux bases et faire un rapport avec les données </w:t>
      </w:r>
      <w:r w:rsidR="0001009F">
        <w:t xml:space="preserve">de commerce </w:t>
      </w:r>
      <w:r w:rsidR="00154F59">
        <w:t>publiées par la balance de</w:t>
      </w:r>
      <w:r w:rsidR="0001009F">
        <w:t>s</w:t>
      </w:r>
      <w:r w:rsidR="00154F59">
        <w:t xml:space="preserve"> paiements.</w:t>
      </w:r>
    </w:p>
    <w:p w:rsidR="00315E65" w:rsidRDefault="001A51EE" w:rsidP="006A3669">
      <w:pPr>
        <w:spacing w:line="276" w:lineRule="auto"/>
      </w:pPr>
      <w:r>
        <w:t xml:space="preserve">La note est organisée de la façon suivante : la </w:t>
      </w:r>
      <w:r w:rsidR="00853EAE">
        <w:t xml:space="preserve">prochaine </w:t>
      </w:r>
      <w:r>
        <w:t>section présente</w:t>
      </w:r>
      <w:r w:rsidR="00665654">
        <w:t xml:space="preserve"> </w:t>
      </w:r>
      <w:r>
        <w:t xml:space="preserve">les </w:t>
      </w:r>
      <w:r w:rsidR="00665654">
        <w:t xml:space="preserve">principes </w:t>
      </w:r>
      <w:r>
        <w:t xml:space="preserve">généraux </w:t>
      </w:r>
      <w:r w:rsidR="00665654">
        <w:t>des deux</w:t>
      </w:r>
      <w:r w:rsidR="00315E65">
        <w:t xml:space="preserve"> base</w:t>
      </w:r>
      <w:r w:rsidR="00665654">
        <w:t>s</w:t>
      </w:r>
      <w:r>
        <w:t>. La section 3 présente</w:t>
      </w:r>
      <w:r w:rsidR="00315E65">
        <w:t xml:space="preserve"> la méthodologie et les données </w:t>
      </w:r>
      <w:r w:rsidR="001358E9">
        <w:t xml:space="preserve">utilisées dans leur construction </w:t>
      </w:r>
      <w:r>
        <w:t xml:space="preserve">et la section 4 </w:t>
      </w:r>
      <w:r w:rsidR="001447CF">
        <w:t xml:space="preserve">compare les indicateurs issus de </w:t>
      </w:r>
      <w:r>
        <w:t>deux bases entre eux et avec les données de balance de paiements.</w:t>
      </w:r>
      <w:r w:rsidR="00665654">
        <w:t xml:space="preserve"> </w:t>
      </w:r>
      <w:r w:rsidRPr="0001009F">
        <w:t>Une section de conclusion</w:t>
      </w:r>
      <w:r w:rsidR="00665654" w:rsidRPr="0001009F">
        <w:t xml:space="preserve"> </w:t>
      </w:r>
      <w:r w:rsidR="00E723F7">
        <w:t>discute des avantages et inconvénients</w:t>
      </w:r>
      <w:r w:rsidR="00DA09DD">
        <w:t xml:space="preserve"> de cha</w:t>
      </w:r>
      <w:r w:rsidR="00853EAE">
        <w:t>que</w:t>
      </w:r>
      <w:r w:rsidR="00DA09DD">
        <w:t xml:space="preserve"> base</w:t>
      </w:r>
      <w:r w:rsidR="00853EAE">
        <w:t>.</w:t>
      </w:r>
    </w:p>
    <w:p w:rsidR="00637AE6" w:rsidRDefault="00637AE6" w:rsidP="006A3669">
      <w:pPr>
        <w:spacing w:line="276" w:lineRule="auto"/>
      </w:pPr>
    </w:p>
    <w:p w:rsidR="0084157C" w:rsidRPr="00665654" w:rsidRDefault="0084157C" w:rsidP="006A3669">
      <w:pPr>
        <w:spacing w:line="276" w:lineRule="auto"/>
      </w:pPr>
    </w:p>
    <w:p w:rsidR="00665654" w:rsidRPr="00CA4B55" w:rsidRDefault="00665654" w:rsidP="006A3669">
      <w:pPr>
        <w:pStyle w:val="Paragraphedeliste"/>
        <w:numPr>
          <w:ilvl w:val="0"/>
          <w:numId w:val="1"/>
        </w:numPr>
        <w:spacing w:line="276" w:lineRule="auto"/>
        <w:rPr>
          <w:b/>
          <w:u w:val="single"/>
        </w:rPr>
      </w:pPr>
      <w:r w:rsidRPr="00CA4B55">
        <w:rPr>
          <w:b/>
          <w:u w:val="single"/>
        </w:rPr>
        <w:t>Présentation générale</w:t>
      </w:r>
    </w:p>
    <w:p w:rsidR="002F6292" w:rsidRDefault="003C4169" w:rsidP="006A3669">
      <w:pPr>
        <w:spacing w:line="276" w:lineRule="auto"/>
      </w:pPr>
      <w:r>
        <w:t xml:space="preserve">Les </w:t>
      </w:r>
      <w:r w:rsidR="002F6292">
        <w:t xml:space="preserve">deux </w:t>
      </w:r>
      <w:r>
        <w:t xml:space="preserve">bases </w:t>
      </w:r>
      <w:r w:rsidR="002F6292">
        <w:t>de données ont été développées</w:t>
      </w:r>
      <w:r>
        <w:t xml:space="preserve"> comme un outil </w:t>
      </w:r>
      <w:r w:rsidR="002F6292">
        <w:t xml:space="preserve">supplémentaire </w:t>
      </w:r>
      <w:r>
        <w:t>d’analyse des effets de la globalisation sur le commerce international, l’environnement et le développement socio-économique. Le principe</w:t>
      </w:r>
      <w:r w:rsidR="002F6292">
        <w:t xml:space="preserve"> est</w:t>
      </w:r>
      <w:r>
        <w:t xml:space="preserve"> le même</w:t>
      </w:r>
      <w:r w:rsidR="00EF5312">
        <w:t> :</w:t>
      </w:r>
      <w:r>
        <w:t xml:space="preserve"> l’utilisation de tableaux d</w:t>
      </w:r>
      <w:r w:rsidR="000B5316">
        <w:t xml:space="preserve">es </w:t>
      </w:r>
      <w:r>
        <w:t>entrée</w:t>
      </w:r>
      <w:r w:rsidR="000B5316">
        <w:t>s</w:t>
      </w:r>
      <w:r>
        <w:t>-sortie</w:t>
      </w:r>
      <w:r w:rsidR="000B5316">
        <w:t>s</w:t>
      </w:r>
      <w:r>
        <w:t xml:space="preserve"> internationaux (TESI) </w:t>
      </w:r>
      <w:r w:rsidR="00EF5312">
        <w:t xml:space="preserve">à partir desquels </w:t>
      </w:r>
      <w:r w:rsidR="002F6292">
        <w:t>plusieurs</w:t>
      </w:r>
      <w:r>
        <w:t xml:space="preserve"> </w:t>
      </w:r>
      <w:r w:rsidR="00EF5312">
        <w:t>mesures</w:t>
      </w:r>
      <w:r>
        <w:t xml:space="preserve"> de commerce en valeur ajoutée</w:t>
      </w:r>
      <w:r w:rsidR="00EF5312">
        <w:t>,</w:t>
      </w:r>
      <w:r w:rsidR="002F6292">
        <w:t xml:space="preserve"> du partage international de la production et du développement des chaînes de valeur mondiales </w:t>
      </w:r>
      <w:r w:rsidR="00B60070">
        <w:t>peuvent être</w:t>
      </w:r>
      <w:r w:rsidR="00EF5312">
        <w:t xml:space="preserve"> calculées</w:t>
      </w:r>
      <w:r>
        <w:t>.</w:t>
      </w:r>
    </w:p>
    <w:p w:rsidR="00FA1E91" w:rsidRDefault="00E75D4C" w:rsidP="006A3669">
      <w:pPr>
        <w:spacing w:line="276" w:lineRule="auto"/>
      </w:pPr>
      <w:r>
        <w:t xml:space="preserve">La base </w:t>
      </w:r>
      <w:r w:rsidR="00FA1E91">
        <w:t>de</w:t>
      </w:r>
      <w:r>
        <w:t xml:space="preserve"> l’OCDE-OMC publie directement des indicateurs </w:t>
      </w:r>
      <w:r w:rsidR="00FA1E91">
        <w:t xml:space="preserve">calculés à partir des TESI </w:t>
      </w:r>
      <w:r w:rsidR="00683872">
        <w:t xml:space="preserve">produits par </w:t>
      </w:r>
      <w:r w:rsidR="00FA1E91">
        <w:t>l’</w:t>
      </w:r>
      <w:r w:rsidR="00EF5312">
        <w:t xml:space="preserve">OCDE, </w:t>
      </w:r>
      <w:r w:rsidR="00FA1E91">
        <w:t>nommés ICIO</w:t>
      </w:r>
      <w:r w:rsidR="00FA1E91" w:rsidRPr="00FA1E91">
        <w:t xml:space="preserve"> </w:t>
      </w:r>
      <w:r w:rsidR="00FA1E91">
        <w:t>pour Inter-Country Input-Output. Ces tableaux sont désor</w:t>
      </w:r>
      <w:r w:rsidR="00E723F7">
        <w:t>mais mis à disposition du public</w:t>
      </w:r>
      <w:r w:rsidR="00FA1E91">
        <w:t xml:space="preserve"> depuis la dernière mise à jour </w:t>
      </w:r>
      <w:r w:rsidR="000B5316">
        <w:t xml:space="preserve">de la base </w:t>
      </w:r>
      <w:r w:rsidR="00FA1E91">
        <w:t>e</w:t>
      </w:r>
      <w:r w:rsidR="000B5316">
        <w:t>n</w:t>
      </w:r>
      <w:r w:rsidR="00FA1E91">
        <w:t xml:space="preserve"> </w:t>
      </w:r>
      <w:r w:rsidR="000B5316">
        <w:t xml:space="preserve">juin </w:t>
      </w:r>
      <w:r w:rsidR="00FA1E91">
        <w:t>2015. Le projet</w:t>
      </w:r>
      <w:r>
        <w:t xml:space="preserve"> WIO</w:t>
      </w:r>
      <w:r w:rsidR="00E723F7">
        <w:t>D fournit</w:t>
      </w:r>
      <w:r w:rsidR="00FA1E91">
        <w:t xml:space="preserve"> uniquement les </w:t>
      </w:r>
      <w:r w:rsidR="00EF5312">
        <w:t>TESI, nommés WIOT pour World Input-Output Tables, à partir desquels les utilisateurs peuvent calculer les indicateurs</w:t>
      </w:r>
      <w:r w:rsidR="001358E9">
        <w:t xml:space="preserve"> souhaités. L</w:t>
      </w:r>
      <w:r w:rsidR="00EF5312">
        <w:t>a méthodologie de calcul de certains indicateurs est publiée dans des documents de travail</w:t>
      </w:r>
      <w:r w:rsidR="001358E9">
        <w:t xml:space="preserve"> du projet (voir, par exemple, Stehrer, 2013).</w:t>
      </w:r>
    </w:p>
    <w:p w:rsidR="0084157C" w:rsidRDefault="0084157C" w:rsidP="0084157C">
      <w:pPr>
        <w:spacing w:line="276" w:lineRule="auto"/>
      </w:pPr>
      <w:r>
        <w:t>Les TESI des deux sources de données sont issus des tableaux des entrées-sorties (TES) nationaux harmonisé</w:t>
      </w:r>
      <w:r w:rsidRPr="00B47F50">
        <w:t>s</w:t>
      </w:r>
      <w:r>
        <w:t xml:space="preserve"> et fournissent des informations sur les relations d’achat et de vente de produits intermédiaires entre les secteurs économiques et l’utilisation de la production sectorielle par catégorie de demande finale (ménages, gouvernements, formation brute de capital fixe). Ces informations sont disponibles au sein d’un pays, telles que pour les TES traditionnels, mais également pour les relations commerciales entre pays. Ainsi, pour chaque pays, les tableaux</w:t>
      </w:r>
      <w:r w:rsidRPr="003E3B0E">
        <w:t xml:space="preserve"> </w:t>
      </w:r>
      <w:r>
        <w:t>indiquent combien de biens et services domestiques et étrangers sont produits par chaque secteur et consommés comme produits intermédiaires ou finaux</w:t>
      </w:r>
      <w:r w:rsidRPr="003E3B0E">
        <w:t xml:space="preserve">. </w:t>
      </w:r>
      <w:r>
        <w:t>P</w:t>
      </w:r>
      <w:r w:rsidRPr="003E3B0E">
        <w:t>ar exemple,</w:t>
      </w:r>
      <w:r>
        <w:t xml:space="preserve"> les tableaux indiquent la production de l’industrie brésilienne du caoutchouc et des plastiques exportée en France et utilisée</w:t>
      </w:r>
      <w:r w:rsidRPr="003E3B0E">
        <w:t xml:space="preserve"> par l'industrie d</w:t>
      </w:r>
      <w:r>
        <w:t>’Équipement de transport ou consommée en tant que bien final par les ménages</w:t>
      </w:r>
      <w:r w:rsidR="001C5939">
        <w:t xml:space="preserve"> français</w:t>
      </w:r>
      <w:r>
        <w:t>.</w:t>
      </w:r>
    </w:p>
    <w:p w:rsidR="0084157C" w:rsidRDefault="0084157C" w:rsidP="0084157C">
      <w:pPr>
        <w:spacing w:line="276" w:lineRule="auto"/>
      </w:pPr>
      <w:r>
        <w:t>La figure 1 ci-dessou</w:t>
      </w:r>
      <w:r w:rsidRPr="0010312A">
        <w:t xml:space="preserve">s </w:t>
      </w:r>
      <w:r>
        <w:t>donne</w:t>
      </w:r>
      <w:r w:rsidRPr="0010312A">
        <w:t xml:space="preserve"> un </w:t>
      </w:r>
      <w:r>
        <w:t>exemple de TESI avec 2 pays plus l’observation RoW (pour</w:t>
      </w:r>
      <w:r w:rsidR="00E723F7">
        <w:t xml:space="preserve"> le</w:t>
      </w:r>
      <w:r>
        <w:t xml:space="preserve"> reste du monde). </w:t>
      </w:r>
      <w:r w:rsidRPr="0010312A">
        <w:t xml:space="preserve">La première partie du tableau </w:t>
      </w:r>
      <w:r w:rsidR="00272592">
        <w:t>indique</w:t>
      </w:r>
      <w:r w:rsidRPr="0010312A">
        <w:t xml:space="preserve"> les relations de vente (ligne) et d’achat (colonne) d</w:t>
      </w:r>
      <w:r>
        <w:t>e biens intermédiaires entre</w:t>
      </w:r>
      <w:r w:rsidRPr="0010312A">
        <w:t xml:space="preserve"> industries. La deuxième partie indique l’utilisation finale de la production </w:t>
      </w:r>
      <w:r>
        <w:t>par secteur</w:t>
      </w:r>
      <w:r w:rsidRPr="0010312A">
        <w:t>. Ces relations se font au sein d’un même pays (diagonale) ou entre pays (les autres cases).</w:t>
      </w:r>
    </w:p>
    <w:p w:rsidR="00B85408" w:rsidRDefault="00B85408" w:rsidP="006A3669">
      <w:pPr>
        <w:spacing w:line="276" w:lineRule="auto"/>
      </w:pPr>
    </w:p>
    <w:p w:rsidR="0084157C" w:rsidRDefault="0084157C" w:rsidP="006A3669">
      <w:pPr>
        <w:spacing w:line="276" w:lineRule="auto"/>
      </w:pPr>
    </w:p>
    <w:p w:rsidR="00683872" w:rsidRPr="003B3B20" w:rsidRDefault="003B3B20" w:rsidP="006A3669">
      <w:pPr>
        <w:spacing w:line="276" w:lineRule="auto"/>
        <w:rPr>
          <w:b/>
        </w:rPr>
      </w:pPr>
      <w:r w:rsidRPr="0010312A">
        <w:rPr>
          <w:b/>
          <w:u w:val="single"/>
        </w:rPr>
        <w:lastRenderedPageBreak/>
        <w:t>Figure 1.</w:t>
      </w:r>
      <w:r w:rsidRPr="0010312A">
        <w:rPr>
          <w:b/>
        </w:rPr>
        <w:t xml:space="preserve"> Aperçu schématique, TESI avec 2 pays + RoW</w:t>
      </w:r>
    </w:p>
    <w:p w:rsidR="00010CFF" w:rsidRDefault="00B749AE" w:rsidP="006A3669">
      <w:pPr>
        <w:spacing w:line="276" w:lineRule="auto"/>
      </w:pPr>
      <w:r w:rsidRPr="00B749AE">
        <w:rPr>
          <w:noProof/>
        </w:rPr>
        <w:drawing>
          <wp:inline distT="0" distB="0" distL="0" distR="0" wp14:anchorId="50A76C68" wp14:editId="41F6A686">
            <wp:extent cx="5760720" cy="2550782"/>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50782"/>
                    </a:xfrm>
                    <a:prstGeom prst="rect">
                      <a:avLst/>
                    </a:prstGeom>
                    <a:noFill/>
                    <a:ln>
                      <a:noFill/>
                    </a:ln>
                  </pic:spPr>
                </pic:pic>
              </a:graphicData>
            </a:graphic>
          </wp:inline>
        </w:drawing>
      </w:r>
    </w:p>
    <w:p w:rsidR="0084157C" w:rsidRDefault="0084157C" w:rsidP="006A3669">
      <w:pPr>
        <w:spacing w:line="276" w:lineRule="auto"/>
      </w:pPr>
    </w:p>
    <w:p w:rsidR="00665654" w:rsidRDefault="00665654" w:rsidP="006A3669">
      <w:pPr>
        <w:spacing w:line="276" w:lineRule="auto"/>
      </w:pPr>
      <w:r>
        <w:t xml:space="preserve">Les </w:t>
      </w:r>
      <w:r w:rsidR="00B87BBB">
        <w:t>tables mondiales</w:t>
      </w:r>
      <w:r>
        <w:t xml:space="preserve"> </w:t>
      </w:r>
      <w:r w:rsidR="003219A6">
        <w:t>disponibles par WIOD couvrent</w:t>
      </w:r>
      <w:r>
        <w:t xml:space="preserve"> 4</w:t>
      </w:r>
      <w:r w:rsidR="00E81E90">
        <w:t>0</w:t>
      </w:r>
      <w:r>
        <w:t xml:space="preserve"> pays</w:t>
      </w:r>
      <w:r w:rsidR="000B5316">
        <w:t xml:space="preserve"> (dont 27 de l’Union européenne et</w:t>
      </w:r>
      <w:r>
        <w:t xml:space="preserve"> 13 autres économies importantes)</w:t>
      </w:r>
      <w:r w:rsidR="000B5316">
        <w:t xml:space="preserve"> plus une </w:t>
      </w:r>
      <w:r w:rsidR="00FB5E5F">
        <w:t xml:space="preserve">observation estimée </w:t>
      </w:r>
      <w:r w:rsidR="0013761F">
        <w:t xml:space="preserve">à partir des résidus </w:t>
      </w:r>
      <w:r w:rsidR="00FB5E5F">
        <w:t>pour le reste du monde</w:t>
      </w:r>
      <w:r>
        <w:t xml:space="preserve">, 35 secteurs d’activité et </w:t>
      </w:r>
      <w:r w:rsidR="00703F40">
        <w:t xml:space="preserve">les </w:t>
      </w:r>
      <w:r>
        <w:t xml:space="preserve">17 années </w:t>
      </w:r>
      <w:r w:rsidR="00272592">
        <w:t>de</w:t>
      </w:r>
      <w:r w:rsidR="000B5316">
        <w:t xml:space="preserve"> 1995 </w:t>
      </w:r>
      <w:r w:rsidR="00272592">
        <w:t>à</w:t>
      </w:r>
      <w:r>
        <w:t xml:space="preserve"> 2011.</w:t>
      </w:r>
      <w:r w:rsidR="00B87BBB">
        <w:t xml:space="preserve"> </w:t>
      </w:r>
      <w:r w:rsidR="008D7870">
        <w:t xml:space="preserve">Les données WIOD sont disponibles en prix de base courants ou en prix de base de l’année précédente. </w:t>
      </w:r>
      <w:r w:rsidR="00F03B80">
        <w:t>La nouvelle version de la base TiVA publie, en plus des TESI, 41 indicateurs d</w:t>
      </w:r>
      <w:r w:rsidR="0013761F">
        <w:t>e</w:t>
      </w:r>
      <w:r w:rsidR="00F03B80">
        <w:t xml:space="preserve"> commerce sur 61 pays (plus l’observation estimée pour le reste du monde) et 34 secteurs pour les années 1995, 2000, 2005, 2008, 2009, 2010 et 2011. </w:t>
      </w:r>
      <w:r w:rsidR="00574109">
        <w:t xml:space="preserve">Les données sont en prix de base courants. </w:t>
      </w:r>
      <w:r>
        <w:t xml:space="preserve">La liste des </w:t>
      </w:r>
      <w:r w:rsidR="00B87BBB">
        <w:t>indicateurs TiVA ainsi que les pays et l</w:t>
      </w:r>
      <w:r>
        <w:t xml:space="preserve">es secteurs </w:t>
      </w:r>
      <w:r w:rsidR="00B87BBB">
        <w:t>couverts par les deux bases sont</w:t>
      </w:r>
      <w:r>
        <w:t xml:space="preserve"> disponible</w:t>
      </w:r>
      <w:r w:rsidR="00B87BBB">
        <w:t>s</w:t>
      </w:r>
      <w:r>
        <w:t xml:space="preserve"> dans </w:t>
      </w:r>
      <w:r w:rsidRPr="00AB4DE4">
        <w:t>l’annexe.</w:t>
      </w:r>
    </w:p>
    <w:p w:rsidR="00851D5C" w:rsidRDefault="00851D5C" w:rsidP="006A3669">
      <w:pPr>
        <w:spacing w:line="276" w:lineRule="auto"/>
      </w:pPr>
    </w:p>
    <w:p w:rsidR="0084157C" w:rsidRDefault="0084157C" w:rsidP="006A3669">
      <w:pPr>
        <w:spacing w:line="276" w:lineRule="auto"/>
      </w:pPr>
    </w:p>
    <w:p w:rsidR="00851D5C" w:rsidRPr="00CA4B55" w:rsidRDefault="00777D93" w:rsidP="006A3669">
      <w:pPr>
        <w:pStyle w:val="Paragraphedeliste"/>
        <w:numPr>
          <w:ilvl w:val="0"/>
          <w:numId w:val="1"/>
        </w:numPr>
        <w:spacing w:line="276" w:lineRule="auto"/>
        <w:rPr>
          <w:b/>
          <w:u w:val="single"/>
        </w:rPr>
      </w:pPr>
      <w:r w:rsidRPr="00CA4B55">
        <w:rPr>
          <w:b/>
          <w:u w:val="single"/>
        </w:rPr>
        <w:t>Méthodologie de construction des bases</w:t>
      </w:r>
    </w:p>
    <w:p w:rsidR="001042AC" w:rsidRPr="00B26E47" w:rsidRDefault="00E772B6" w:rsidP="001042AC">
      <w:pPr>
        <w:spacing w:line="276" w:lineRule="auto"/>
      </w:pPr>
      <w:r>
        <w:t xml:space="preserve">Les principes des TESI utilisés par les deux bases de données sont les mêmes. </w:t>
      </w:r>
      <w:r w:rsidR="00851D5C">
        <w:t xml:space="preserve">Les méthodologies de construction des </w:t>
      </w:r>
      <w:r w:rsidR="00B26E47">
        <w:t xml:space="preserve">WIOT et des </w:t>
      </w:r>
      <w:r w:rsidR="00851D5C">
        <w:t xml:space="preserve">ICIO sont néanmoins divergentes. Et ces différences </w:t>
      </w:r>
      <w:r w:rsidR="000A5670">
        <w:t>se répercutent sur</w:t>
      </w:r>
      <w:r w:rsidR="00851D5C">
        <w:t xml:space="preserve"> les données </w:t>
      </w:r>
      <w:r w:rsidR="000A5670">
        <w:t>publiées</w:t>
      </w:r>
      <w:r w:rsidR="00851D5C">
        <w:t xml:space="preserve"> </w:t>
      </w:r>
      <w:r w:rsidR="000A5670">
        <w:t>par l</w:t>
      </w:r>
      <w:r w:rsidR="00851D5C">
        <w:t>es deux projets</w:t>
      </w:r>
      <w:r w:rsidR="000A5670">
        <w:t>, qui ne son</w:t>
      </w:r>
      <w:r w:rsidR="00851D5C">
        <w:t>t pas exactement les mêmes. Ces écarts conc</w:t>
      </w:r>
      <w:r w:rsidR="000A5670">
        <w:t>ernent l’étendu</w:t>
      </w:r>
      <w:r w:rsidR="00E723F7">
        <w:t>e</w:t>
      </w:r>
      <w:r w:rsidR="000A5670">
        <w:t xml:space="preserve"> des données et</w:t>
      </w:r>
      <w:r w:rsidR="00272592">
        <w:t xml:space="preserve"> les données </w:t>
      </w:r>
      <w:r w:rsidR="00851D5C">
        <w:t>mêmes.</w:t>
      </w:r>
    </w:p>
    <w:p w:rsidR="001042AC" w:rsidRPr="00B26E47" w:rsidRDefault="001042AC" w:rsidP="001042AC">
      <w:pPr>
        <w:spacing w:line="276" w:lineRule="auto"/>
      </w:pPr>
    </w:p>
    <w:p w:rsidR="001042AC" w:rsidRPr="0006090B" w:rsidRDefault="001042AC" w:rsidP="001042AC">
      <w:pPr>
        <w:pStyle w:val="Paragraphedeliste"/>
        <w:numPr>
          <w:ilvl w:val="1"/>
          <w:numId w:val="1"/>
        </w:numPr>
        <w:spacing w:line="276" w:lineRule="auto"/>
        <w:rPr>
          <w:b/>
          <w:lang w:val="en-US"/>
        </w:rPr>
      </w:pPr>
      <w:r>
        <w:rPr>
          <w:b/>
          <w:lang w:val="en-US"/>
        </w:rPr>
        <w:t>La base WIOD</w:t>
      </w:r>
    </w:p>
    <w:p w:rsidR="00A776B0" w:rsidRDefault="0006090B" w:rsidP="008F7917">
      <w:pPr>
        <w:spacing w:line="276" w:lineRule="auto"/>
      </w:pPr>
      <w:r>
        <w:t xml:space="preserve">Les principales difficultés </w:t>
      </w:r>
      <w:r w:rsidR="00A776B0">
        <w:t xml:space="preserve">dans la détermination des principes et des choix de construction des tableaux WIOD </w:t>
      </w:r>
      <w:r w:rsidR="00F77A00">
        <w:t xml:space="preserve">(voir Timmer et al., 2015) </w:t>
      </w:r>
      <w:r>
        <w:t xml:space="preserve">relèvent de l’harmonisation entre les données fournies par les Instituts nationaux de statistiques (INS) des 40 pays couverts </w:t>
      </w:r>
      <w:r w:rsidR="0033456B">
        <w:t xml:space="preserve">dans la base </w:t>
      </w:r>
      <w:r>
        <w:t>et de la synchronisation de ces données avec ce</w:t>
      </w:r>
      <w:r w:rsidR="00A776B0">
        <w:t>lles du commerce international</w:t>
      </w:r>
      <w:r w:rsidR="00CB2C15">
        <w:t xml:space="preserve"> (Timmer, 2012)</w:t>
      </w:r>
      <w:r w:rsidR="00A776B0">
        <w:t>.</w:t>
      </w:r>
    </w:p>
    <w:p w:rsidR="0006090B" w:rsidRDefault="0006090B" w:rsidP="008F7917">
      <w:pPr>
        <w:spacing w:line="276" w:lineRule="auto"/>
      </w:pPr>
      <w:r>
        <w:t>Le point de départ sont les T</w:t>
      </w:r>
      <w:r w:rsidRPr="00572DC8">
        <w:t>ableaux des ressources et des emplois</w:t>
      </w:r>
      <w:r>
        <w:t xml:space="preserve"> (TRE) à partir desquels les INS calculent les TES</w:t>
      </w:r>
      <w:r w:rsidR="00761B94">
        <w:rPr>
          <w:rStyle w:val="Appelnotedebasdep"/>
        </w:rPr>
        <w:footnoteReference w:id="3"/>
      </w:r>
      <w:r>
        <w:t>. Les TRE sont utilisés tels que publiés et doivent être harmonisés. La première étape est la conversion des données en 59 produits</w:t>
      </w:r>
      <w:r w:rsidR="00705CD8">
        <w:t xml:space="preserve"> et 35 secteurs, </w:t>
      </w:r>
      <w:r>
        <w:t>correspondant respectivement à la Classific</w:t>
      </w:r>
      <w:r w:rsidR="00705CD8">
        <w:t>ation des produits par activité</w:t>
      </w:r>
      <w:r>
        <w:t xml:space="preserve"> </w:t>
      </w:r>
      <w:r w:rsidR="00705CD8">
        <w:t>(</w:t>
      </w:r>
      <w:r>
        <w:t>CPA</w:t>
      </w:r>
      <w:r w:rsidR="00705CD8">
        <w:t>)</w:t>
      </w:r>
      <w:r>
        <w:t xml:space="preserve"> et la Classification in</w:t>
      </w:r>
      <w:r w:rsidR="00705CD8">
        <w:t>ternationale type par industrie</w:t>
      </w:r>
      <w:r w:rsidR="00A96D49">
        <w:t>,</w:t>
      </w:r>
      <w:r w:rsidR="00705CD8">
        <w:t xml:space="preserve"> révision 3 (</w:t>
      </w:r>
      <w:r>
        <w:t>CITI</w:t>
      </w:r>
      <w:r w:rsidR="00705CD8">
        <w:t>)</w:t>
      </w:r>
      <w:r w:rsidR="00751207">
        <w:rPr>
          <w:rStyle w:val="Appelnotedebasdep"/>
        </w:rPr>
        <w:footnoteReference w:id="4"/>
      </w:r>
      <w:r>
        <w:t>.</w:t>
      </w:r>
      <w:r w:rsidR="00705CD8">
        <w:t xml:space="preserve"> </w:t>
      </w:r>
      <w:r w:rsidR="00705CD8" w:rsidRPr="00CA64EA">
        <w:t>L</w:t>
      </w:r>
      <w:r w:rsidRPr="00CA64EA">
        <w:t xml:space="preserve">es prix d’achat </w:t>
      </w:r>
      <w:r w:rsidR="00CA64EA" w:rsidRPr="00CA64EA">
        <w:t xml:space="preserve">des tableaux des emplois </w:t>
      </w:r>
      <w:r w:rsidRPr="00CA64EA">
        <w:t>sont</w:t>
      </w:r>
      <w:r w:rsidR="00705CD8" w:rsidRPr="00CA64EA">
        <w:t xml:space="preserve"> ensuite</w:t>
      </w:r>
      <w:r w:rsidRPr="00CA64EA">
        <w:t xml:space="preserve"> transformés en prix de base</w:t>
      </w:r>
      <w:r w:rsidR="00CA64EA" w:rsidRPr="00CA64EA">
        <w:t xml:space="preserve"> (ceux des ressource</w:t>
      </w:r>
      <w:r w:rsidR="00CA64EA">
        <w:t>s en sont déjà</w:t>
      </w:r>
      <w:r w:rsidR="00CA64EA" w:rsidRPr="00CA64EA">
        <w:t>)</w:t>
      </w:r>
      <w:r w:rsidR="00F665AD" w:rsidRPr="00CA64EA">
        <w:t>.</w:t>
      </w:r>
      <w:r w:rsidR="00705CD8" w:rsidRPr="00CA64EA">
        <w:t xml:space="preserve"> </w:t>
      </w:r>
      <w:r w:rsidR="00F665AD">
        <w:t>D</w:t>
      </w:r>
      <w:r w:rsidR="00705CD8">
        <w:t>’autres</w:t>
      </w:r>
      <w:r>
        <w:t xml:space="preserve"> traitements sont </w:t>
      </w:r>
      <w:r w:rsidR="00F665AD">
        <w:t xml:space="preserve">également </w:t>
      </w:r>
      <w:r>
        <w:t xml:space="preserve">effectués pour assurer la cohérence </w:t>
      </w:r>
      <w:r w:rsidR="00705CD8">
        <w:t>entre l</w:t>
      </w:r>
      <w:r w:rsidR="00371EC8">
        <w:t>es données</w:t>
      </w:r>
      <w:r w:rsidR="0033456B">
        <w:t xml:space="preserve"> de plusieurs pays</w:t>
      </w:r>
      <w:r w:rsidR="00371EC8">
        <w:t xml:space="preserve">, </w:t>
      </w:r>
      <w:r w:rsidR="00705CD8">
        <w:t xml:space="preserve">tels que </w:t>
      </w:r>
      <w:r w:rsidR="00E02D18">
        <w:t xml:space="preserve">sur </w:t>
      </w:r>
      <w:r w:rsidR="005A31BF">
        <w:t xml:space="preserve">les </w:t>
      </w:r>
      <w:r w:rsidR="00705CD8">
        <w:t>écart</w:t>
      </w:r>
      <w:r w:rsidR="005A31BF">
        <w:t>s</w:t>
      </w:r>
      <w:r w:rsidR="00705CD8">
        <w:t xml:space="preserve"> entre les</w:t>
      </w:r>
      <w:r>
        <w:t xml:space="preserve"> définition</w:t>
      </w:r>
      <w:r w:rsidR="00705CD8">
        <w:t>s</w:t>
      </w:r>
      <w:r>
        <w:t xml:space="preserve"> de certains secteu</w:t>
      </w:r>
      <w:r w:rsidR="00371EC8">
        <w:t xml:space="preserve">rs ou </w:t>
      </w:r>
      <w:r w:rsidR="00E02D18">
        <w:t xml:space="preserve">sur </w:t>
      </w:r>
      <w:r w:rsidR="00371EC8">
        <w:t>les données secrètes manquantes</w:t>
      </w:r>
      <w:r>
        <w:t xml:space="preserve">. Le commerce de transformation, </w:t>
      </w:r>
      <w:r w:rsidRPr="004F7374">
        <w:t>les réexportations et le</w:t>
      </w:r>
      <w:r>
        <w:t>s biens</w:t>
      </w:r>
      <w:r w:rsidRPr="004F7374">
        <w:t xml:space="preserve"> e</w:t>
      </w:r>
      <w:r>
        <w:t>n</w:t>
      </w:r>
      <w:r w:rsidRPr="004F7374">
        <w:t xml:space="preserve"> transit</w:t>
      </w:r>
      <w:r>
        <w:t xml:space="preserve"> sont également traités</w:t>
      </w:r>
      <w:r>
        <w:rPr>
          <w:rStyle w:val="Appelnotedebasdep"/>
        </w:rPr>
        <w:footnoteReference w:id="5"/>
      </w:r>
      <w:r>
        <w:t>.</w:t>
      </w:r>
    </w:p>
    <w:p w:rsidR="0006090B" w:rsidRDefault="0006090B" w:rsidP="008F7917">
      <w:pPr>
        <w:spacing w:line="276" w:lineRule="auto"/>
      </w:pPr>
      <w:r>
        <w:t xml:space="preserve">Pour éviter des écarts </w:t>
      </w:r>
      <w:r w:rsidR="003A2AF8">
        <w:t>entre les données des TRE avec</w:t>
      </w:r>
      <w:r>
        <w:t xml:space="preserve"> les données officielles</w:t>
      </w:r>
      <w:r w:rsidR="00FB5E5F">
        <w:t xml:space="preserve"> issues des comptes nationaux, </w:t>
      </w:r>
      <w:r w:rsidR="003A2AF8">
        <w:t>qui sont révisées à plusieurs reprises</w:t>
      </w:r>
      <w:r w:rsidR="0033456B">
        <w:t xml:space="preserve">, WIOD utilise cette dernière source </w:t>
      </w:r>
      <w:r>
        <w:t>comme référen</w:t>
      </w:r>
      <w:r w:rsidR="00A6794F">
        <w:t>ce</w:t>
      </w:r>
      <w:r w:rsidR="0033456B">
        <w:t xml:space="preserve"> pour ses tableaux</w:t>
      </w:r>
      <w:r>
        <w:t xml:space="preserve">. </w:t>
      </w:r>
      <w:r w:rsidR="003A2AF8">
        <w:t>Ainsi, l</w:t>
      </w:r>
      <w:r>
        <w:t>es TRE issus du processus d’harmonisation sont r</w:t>
      </w:r>
      <w:r w:rsidR="0033456B">
        <w:t>éestimés à partir des données</w:t>
      </w:r>
      <w:r>
        <w:t xml:space="preserve"> </w:t>
      </w:r>
      <w:r w:rsidR="0033456B">
        <w:t>des comptes nationaux</w:t>
      </w:r>
      <w:r>
        <w:t xml:space="preserve"> (</w:t>
      </w:r>
      <w:r>
        <w:rPr>
          <w:rStyle w:val="hps"/>
        </w:rPr>
        <w:t>exportations</w:t>
      </w:r>
      <w:r>
        <w:t xml:space="preserve"> </w:t>
      </w:r>
      <w:r>
        <w:rPr>
          <w:rStyle w:val="hps"/>
        </w:rPr>
        <w:t>totales</w:t>
      </w:r>
      <w:r>
        <w:t xml:space="preserve">, importations </w:t>
      </w:r>
      <w:r>
        <w:rPr>
          <w:rStyle w:val="hps"/>
        </w:rPr>
        <w:t>totales</w:t>
      </w:r>
      <w:r>
        <w:t xml:space="preserve">, </w:t>
      </w:r>
      <w:r>
        <w:rPr>
          <w:rStyle w:val="hps"/>
        </w:rPr>
        <w:t>production brute</w:t>
      </w:r>
      <w:r>
        <w:t xml:space="preserve"> </w:t>
      </w:r>
      <w:r>
        <w:rPr>
          <w:rStyle w:val="hps"/>
        </w:rPr>
        <w:t>au prix de base</w:t>
      </w:r>
      <w:r w:rsidR="00A96D49">
        <w:rPr>
          <w:rStyle w:val="hps"/>
        </w:rPr>
        <w:t>,</w:t>
      </w:r>
      <w:r>
        <w:t xml:space="preserve"> </w:t>
      </w:r>
      <w:r>
        <w:rPr>
          <w:rStyle w:val="hps"/>
        </w:rPr>
        <w:t>valeur ajoutée par secteur,</w:t>
      </w:r>
      <w:r>
        <w:t xml:space="preserve"> </w:t>
      </w:r>
      <w:r>
        <w:rPr>
          <w:rStyle w:val="hps"/>
        </w:rPr>
        <w:t>utilisation finale à</w:t>
      </w:r>
      <w:r>
        <w:t xml:space="preserve"> </w:t>
      </w:r>
      <w:r>
        <w:rPr>
          <w:rStyle w:val="hps"/>
        </w:rPr>
        <w:t>prix d’achat</w:t>
      </w:r>
      <w:r>
        <w:t xml:space="preserve">, </w:t>
      </w:r>
      <w:r>
        <w:rPr>
          <w:rStyle w:val="hps"/>
        </w:rPr>
        <w:t>variations</w:t>
      </w:r>
      <w:r>
        <w:t xml:space="preserve"> </w:t>
      </w:r>
      <w:r>
        <w:rPr>
          <w:rStyle w:val="hps"/>
        </w:rPr>
        <w:t>des stocks</w:t>
      </w:r>
      <w:r>
        <w:t xml:space="preserve">, marges </w:t>
      </w:r>
      <w:r>
        <w:rPr>
          <w:rStyle w:val="hps"/>
        </w:rPr>
        <w:t>totales et impôts nets</w:t>
      </w:r>
      <w:r>
        <w:t xml:space="preserve"> </w:t>
      </w:r>
      <w:r>
        <w:rPr>
          <w:rStyle w:val="hps"/>
        </w:rPr>
        <w:t>totaux</w:t>
      </w:r>
      <w:r>
        <w:t xml:space="preserve">). Cette approche permet que toute révision </w:t>
      </w:r>
      <w:r w:rsidR="003A2AF8">
        <w:t xml:space="preserve">officielle </w:t>
      </w:r>
      <w:r>
        <w:t xml:space="preserve">conduise à une adaptation des TRE. </w:t>
      </w:r>
      <w:r w:rsidR="003A2AF8">
        <w:t>En outre</w:t>
      </w:r>
      <w:r>
        <w:t>, les TRE harmonisés</w:t>
      </w:r>
      <w:r w:rsidR="0098002A">
        <w:t xml:space="preserve"> ne</w:t>
      </w:r>
      <w:r>
        <w:t xml:space="preserve"> sont </w:t>
      </w:r>
      <w:r w:rsidR="0098002A">
        <w:t>calculés</w:t>
      </w:r>
      <w:r>
        <w:t xml:space="preserve"> que p</w:t>
      </w:r>
      <w:r w:rsidR="003A2AF8">
        <w:t>our certaines années (</w:t>
      </w:r>
      <w:r w:rsidR="00E02D18">
        <w:t>disponibles</w:t>
      </w:r>
      <w:r w:rsidR="003A2AF8">
        <w:t xml:space="preserve"> normalement </w:t>
      </w:r>
      <w:r>
        <w:t>tous les 5 ans). Les données de référence des comptes nation</w:t>
      </w:r>
      <w:r w:rsidR="00E723F7">
        <w:t>aux pour les années dont</w:t>
      </w:r>
      <w:r w:rsidR="0098002A">
        <w:t xml:space="preserve"> les TRE ne sont pas disponibles</w:t>
      </w:r>
      <w:r>
        <w:t xml:space="preserve"> sont utilisées pour la génération des séries chronologiques </w:t>
      </w:r>
      <w:r w:rsidRPr="006355E4">
        <w:t>avec la méthode d’estimation SUT-RAS</w:t>
      </w:r>
      <w:r>
        <w:t xml:space="preserve"> (développée dans ce but précis</w:t>
      </w:r>
      <w:r w:rsidR="00A96D49">
        <w:t>)</w:t>
      </w:r>
      <w:r>
        <w:t>.</w:t>
      </w:r>
    </w:p>
    <w:p w:rsidR="001E231D" w:rsidRDefault="00A96D49" w:rsidP="008F7917">
      <w:pPr>
        <w:spacing w:line="276" w:lineRule="auto"/>
      </w:pPr>
      <w:r>
        <w:t xml:space="preserve">Les tableaux issus de ce processus </w:t>
      </w:r>
      <w:r w:rsidR="00876A17">
        <w:t xml:space="preserve">fournissent les </w:t>
      </w:r>
      <w:r w:rsidR="001E231D">
        <w:t>échanges</w:t>
      </w:r>
      <w:r w:rsidR="00876A17">
        <w:t xml:space="preserve"> par secteur, </w:t>
      </w:r>
      <w:r w:rsidR="007D68F5">
        <w:t xml:space="preserve">utilisés dans les estimations des flux commerciaux dans les tables WIOD. </w:t>
      </w:r>
      <w:r w:rsidR="001E231D">
        <w:t>Pour assurer la</w:t>
      </w:r>
      <w:r w:rsidR="001E231D" w:rsidRPr="00A15AB6">
        <w:t xml:space="preserve"> </w:t>
      </w:r>
      <w:r w:rsidR="001E231D">
        <w:t xml:space="preserve">symétrie entre les flux d’exportation et d’importation, seules les </w:t>
      </w:r>
      <w:r w:rsidR="001E231D" w:rsidRPr="00A15AB6">
        <w:t xml:space="preserve">données </w:t>
      </w:r>
      <w:r w:rsidR="001E231D">
        <w:t>d’importation issues des tableaux des ressources sont utilisées</w:t>
      </w:r>
      <w:r w:rsidR="001E231D">
        <w:rPr>
          <w:rStyle w:val="Appelnotedebasdep"/>
        </w:rPr>
        <w:footnoteReference w:id="6"/>
      </w:r>
      <w:r w:rsidR="001E231D">
        <w:t>. Et, puisque les exportations sont en FAB et les importations en CAF, les données sont fabisées pour assurer leur cohérence.</w:t>
      </w:r>
    </w:p>
    <w:p w:rsidR="0006090B" w:rsidRPr="001E231D" w:rsidRDefault="007D68F5" w:rsidP="008F7917">
      <w:pPr>
        <w:spacing w:line="276" w:lineRule="auto"/>
      </w:pPr>
      <w:r>
        <w:t>M</w:t>
      </w:r>
      <w:r w:rsidR="00876A17">
        <w:t xml:space="preserve">ais </w:t>
      </w:r>
      <w:r w:rsidR="002D7626">
        <w:t>ces flux</w:t>
      </w:r>
      <w:r w:rsidR="00876A17">
        <w:t xml:space="preserve"> sont unilatéraux </w:t>
      </w:r>
      <w:r w:rsidR="002D7626">
        <w:t>et</w:t>
      </w:r>
      <w:r w:rsidR="00876A17">
        <w:t xml:space="preserve"> </w:t>
      </w:r>
      <w:r w:rsidR="00A96D49">
        <w:t xml:space="preserve">doivent être transformés </w:t>
      </w:r>
      <w:r w:rsidR="00876A17">
        <w:t>en flu</w:t>
      </w:r>
      <w:r w:rsidR="00451C4A">
        <w:t>x bilatéraux entre les 40 pays plus</w:t>
      </w:r>
      <w:r w:rsidR="00876A17">
        <w:t xml:space="preserve"> l’observation RoW</w:t>
      </w:r>
      <w:r w:rsidR="007A7B08">
        <w:rPr>
          <w:rStyle w:val="Appelnotedebasdep"/>
        </w:rPr>
        <w:footnoteReference w:id="7"/>
      </w:r>
      <w:r w:rsidR="0006090B">
        <w:t xml:space="preserve">. </w:t>
      </w:r>
      <w:r>
        <w:t xml:space="preserve">Ce partage est effectué à partir </w:t>
      </w:r>
      <w:r w:rsidR="00720499">
        <w:t>des</w:t>
      </w:r>
      <w:r>
        <w:t xml:space="preserve"> statistiques des échanges internationaux (SEI). </w:t>
      </w:r>
      <w:r w:rsidR="0006090B">
        <w:t xml:space="preserve">Les </w:t>
      </w:r>
      <w:r w:rsidR="0051377F">
        <w:t>SEI pour les biens</w:t>
      </w:r>
      <w:r w:rsidR="0006090B">
        <w:t xml:space="preserve"> sont issues de la base Comtrade (</w:t>
      </w:r>
      <w:r w:rsidR="0006090B" w:rsidRPr="0033027F">
        <w:t>http://comtrade.un.org/db/default.aspx</w:t>
      </w:r>
      <w:r w:rsidR="0006090B" w:rsidRPr="00A14BAF">
        <w:t>)</w:t>
      </w:r>
      <w:r w:rsidR="0006090B">
        <w:t xml:space="preserve"> des Nations Uni</w:t>
      </w:r>
      <w:r w:rsidR="00E723F7">
        <w:t>e</w:t>
      </w:r>
      <w:r w:rsidR="0006090B">
        <w:t xml:space="preserve">s, au niveau de 6-digits du système </w:t>
      </w:r>
      <w:r w:rsidR="00E02D18">
        <w:t>harmonisé</w:t>
      </w:r>
      <w:r w:rsidR="0006090B">
        <w:t>. Les données</w:t>
      </w:r>
      <w:r w:rsidR="0051377F">
        <w:rPr>
          <w:rFonts w:eastAsiaTheme="minorEastAsia"/>
        </w:rPr>
        <w:t xml:space="preserve"> pour les</w:t>
      </w:r>
      <w:r w:rsidR="0006090B">
        <w:rPr>
          <w:rFonts w:eastAsiaTheme="minorEastAsia"/>
        </w:rPr>
        <w:t xml:space="preserve"> service</w:t>
      </w:r>
      <w:r w:rsidR="0051377F">
        <w:rPr>
          <w:rFonts w:eastAsiaTheme="minorEastAsia"/>
        </w:rPr>
        <w:t>s</w:t>
      </w:r>
      <w:r w:rsidR="0006090B">
        <w:rPr>
          <w:rFonts w:eastAsiaTheme="minorEastAsia"/>
        </w:rPr>
        <w:t xml:space="preserve"> proviennent </w:t>
      </w:r>
      <w:r w:rsidR="003A2AF8">
        <w:rPr>
          <w:rFonts w:eastAsiaTheme="minorEastAsia"/>
        </w:rPr>
        <w:t xml:space="preserve">également </w:t>
      </w:r>
      <w:r w:rsidR="003C64B8">
        <w:rPr>
          <w:rFonts w:eastAsiaTheme="minorEastAsia"/>
        </w:rPr>
        <w:t>des</w:t>
      </w:r>
      <w:r w:rsidR="0051377F">
        <w:rPr>
          <w:rFonts w:eastAsiaTheme="minorEastAsia"/>
        </w:rPr>
        <w:t xml:space="preserve"> Nations Uni</w:t>
      </w:r>
      <w:r w:rsidR="00E723F7">
        <w:rPr>
          <w:rFonts w:eastAsiaTheme="minorEastAsia"/>
        </w:rPr>
        <w:t>e</w:t>
      </w:r>
      <w:r w:rsidR="0051377F">
        <w:rPr>
          <w:rFonts w:eastAsiaTheme="minorEastAsia"/>
        </w:rPr>
        <w:t>s</w:t>
      </w:r>
      <w:r w:rsidR="009C0092">
        <w:rPr>
          <w:rFonts w:eastAsiaTheme="minorEastAsia"/>
        </w:rPr>
        <w:t xml:space="preserve"> (</w:t>
      </w:r>
      <w:r w:rsidR="009C0092" w:rsidRPr="0051377F">
        <w:t>http://unstats.un.org/unsd/servicetrade/default.aspx</w:t>
      </w:r>
      <w:r w:rsidR="009C0092">
        <w:rPr>
          <w:rStyle w:val="Appelnotedebasdep"/>
          <w:rFonts w:eastAsiaTheme="minorEastAsia"/>
        </w:rPr>
        <w:t xml:space="preserve"> </w:t>
      </w:r>
      <w:r w:rsidR="009C0092">
        <w:rPr>
          <w:rFonts w:eastAsiaTheme="minorEastAsia"/>
        </w:rPr>
        <w:t>)</w:t>
      </w:r>
      <w:r w:rsidR="0006090B">
        <w:rPr>
          <w:rStyle w:val="Appelnotedebasdep"/>
          <w:rFonts w:eastAsiaTheme="minorEastAsia"/>
        </w:rPr>
        <w:footnoteReference w:id="8"/>
      </w:r>
      <w:r w:rsidR="0006090B">
        <w:rPr>
          <w:rFonts w:eastAsiaTheme="minorEastAsia"/>
        </w:rPr>
        <w:t xml:space="preserve">. </w:t>
      </w:r>
      <w:r w:rsidR="0051377F">
        <w:rPr>
          <w:rFonts w:eastAsiaTheme="minorEastAsia"/>
        </w:rPr>
        <w:t>Pour ce type d’échange, s</w:t>
      </w:r>
      <w:r w:rsidR="0006090B">
        <w:rPr>
          <w:rFonts w:eastAsiaTheme="minorEastAsia"/>
        </w:rPr>
        <w:t xml:space="preserve">eul le mode 1 de la définition </w:t>
      </w:r>
      <w:r w:rsidR="0051377F">
        <w:rPr>
          <w:rFonts w:eastAsiaTheme="minorEastAsia"/>
        </w:rPr>
        <w:t>de</w:t>
      </w:r>
      <w:r w:rsidR="0006090B">
        <w:rPr>
          <w:rFonts w:eastAsiaTheme="minorEastAsia"/>
        </w:rPr>
        <w:t xml:space="preserve"> l’AGCS (</w:t>
      </w:r>
      <w:r w:rsidR="0006090B" w:rsidRPr="00B777D0">
        <w:rPr>
          <w:rFonts w:eastAsiaTheme="minorEastAsia"/>
        </w:rPr>
        <w:t>Accord général sur le commerce des services</w:t>
      </w:r>
      <w:r w:rsidR="0006090B">
        <w:rPr>
          <w:rFonts w:eastAsiaTheme="minorEastAsia"/>
        </w:rPr>
        <w:t>) est utilisé</w:t>
      </w:r>
      <w:r w:rsidR="00DF7A40">
        <w:rPr>
          <w:rFonts w:eastAsiaTheme="minorEastAsia"/>
        </w:rPr>
        <w:t>e</w:t>
      </w:r>
      <w:r w:rsidR="0006090B">
        <w:rPr>
          <w:rFonts w:eastAsiaTheme="minorEastAsia"/>
        </w:rPr>
        <w:t xml:space="preserve"> </w:t>
      </w:r>
      <w:r w:rsidR="0051377F">
        <w:rPr>
          <w:rFonts w:eastAsiaTheme="minorEastAsia"/>
        </w:rPr>
        <w:t>dans</w:t>
      </w:r>
      <w:r w:rsidR="0006090B">
        <w:rPr>
          <w:rFonts w:eastAsiaTheme="minorEastAsia"/>
        </w:rPr>
        <w:t xml:space="preserve"> la </w:t>
      </w:r>
      <w:r w:rsidR="00E02D18">
        <w:rPr>
          <w:rFonts w:eastAsiaTheme="minorEastAsia"/>
        </w:rPr>
        <w:t>construction</w:t>
      </w:r>
      <w:r w:rsidR="0006090B">
        <w:rPr>
          <w:rFonts w:eastAsiaTheme="minorEastAsia"/>
        </w:rPr>
        <w:t xml:space="preserve"> </w:t>
      </w:r>
      <w:r w:rsidR="00DF7A40">
        <w:rPr>
          <w:rFonts w:eastAsiaTheme="minorEastAsia"/>
        </w:rPr>
        <w:t>de la base</w:t>
      </w:r>
      <w:r w:rsidR="0006090B">
        <w:rPr>
          <w:rStyle w:val="Appelnotedebasdep"/>
          <w:rFonts w:eastAsiaTheme="minorEastAsia"/>
        </w:rPr>
        <w:footnoteReference w:id="9"/>
      </w:r>
      <w:r w:rsidR="00DE1BF4">
        <w:rPr>
          <w:rFonts w:eastAsiaTheme="minorEastAsia"/>
        </w:rPr>
        <w:t xml:space="preserve"> </w:t>
      </w:r>
      <w:r w:rsidR="00E02D18">
        <w:rPr>
          <w:rFonts w:eastAsiaTheme="minorEastAsia"/>
        </w:rPr>
        <w:t>(il</w:t>
      </w:r>
      <w:r w:rsidR="0006090B">
        <w:rPr>
          <w:rFonts w:eastAsiaTheme="minorEastAsia"/>
        </w:rPr>
        <w:t xml:space="preserve"> inclut le commerce</w:t>
      </w:r>
      <w:r w:rsidR="0006090B" w:rsidRPr="00B777D0">
        <w:rPr>
          <w:rFonts w:eastAsiaTheme="minorEastAsia"/>
        </w:rPr>
        <w:t xml:space="preserve"> transfront</w:t>
      </w:r>
      <w:r w:rsidR="0006090B">
        <w:rPr>
          <w:rFonts w:eastAsiaTheme="minorEastAsia"/>
        </w:rPr>
        <w:t>al</w:t>
      </w:r>
      <w:r w:rsidR="0006090B" w:rsidRPr="00B777D0">
        <w:rPr>
          <w:rFonts w:eastAsiaTheme="minorEastAsia"/>
        </w:rPr>
        <w:t>i</w:t>
      </w:r>
      <w:r w:rsidR="0006090B">
        <w:rPr>
          <w:rFonts w:eastAsiaTheme="minorEastAsia"/>
        </w:rPr>
        <w:t>er, soit</w:t>
      </w:r>
      <w:r w:rsidR="0006090B" w:rsidRPr="00B777D0">
        <w:rPr>
          <w:rFonts w:eastAsiaTheme="minorEastAsia"/>
        </w:rPr>
        <w:t xml:space="preserve"> </w:t>
      </w:r>
      <w:r w:rsidR="0006090B">
        <w:rPr>
          <w:rFonts w:eastAsiaTheme="minorEastAsia"/>
        </w:rPr>
        <w:t>l</w:t>
      </w:r>
      <w:r w:rsidR="0006090B" w:rsidRPr="00B777D0">
        <w:rPr>
          <w:rFonts w:eastAsiaTheme="minorEastAsia"/>
        </w:rPr>
        <w:t>es flux de service</w:t>
      </w:r>
      <w:r w:rsidR="0006090B">
        <w:rPr>
          <w:rFonts w:eastAsiaTheme="minorEastAsia"/>
        </w:rPr>
        <w:t>s en provenance du territoire d’</w:t>
      </w:r>
      <w:r w:rsidR="0006090B" w:rsidRPr="00B777D0">
        <w:rPr>
          <w:rFonts w:eastAsiaTheme="minorEastAsia"/>
        </w:rPr>
        <w:t xml:space="preserve">un </w:t>
      </w:r>
      <w:r w:rsidR="0006090B">
        <w:rPr>
          <w:rFonts w:eastAsiaTheme="minorEastAsia"/>
        </w:rPr>
        <w:t>pays</w:t>
      </w:r>
      <w:r w:rsidR="0006090B" w:rsidRPr="00B777D0">
        <w:rPr>
          <w:rFonts w:eastAsiaTheme="minorEastAsia"/>
        </w:rPr>
        <w:t xml:space="preserve"> et à destination du territoire d'un autre</w:t>
      </w:r>
      <w:r w:rsidR="0006090B">
        <w:rPr>
          <w:rFonts w:eastAsiaTheme="minorEastAsia"/>
        </w:rPr>
        <w:t>).</w:t>
      </w:r>
    </w:p>
    <w:p w:rsidR="0098002A" w:rsidRDefault="00DF7A40" w:rsidP="008F7917">
      <w:pPr>
        <w:spacing w:line="276" w:lineRule="auto"/>
      </w:pPr>
      <w:r>
        <w:t>Les SEI</w:t>
      </w:r>
      <w:r w:rsidR="00C8119D" w:rsidRPr="00207BD9">
        <w:t xml:space="preserve"> pour le </w:t>
      </w:r>
      <w:r>
        <w:t>commerce de biens sont</w:t>
      </w:r>
      <w:r w:rsidR="0006090B" w:rsidRPr="00207BD9">
        <w:t xml:space="preserve"> ventilée</w:t>
      </w:r>
      <w:r>
        <w:t>s</w:t>
      </w:r>
      <w:r w:rsidR="0006090B" w:rsidRPr="00207BD9">
        <w:t xml:space="preserve"> en 5 000 produits</w:t>
      </w:r>
      <w:r w:rsidR="009F71F0">
        <w:t xml:space="preserve"> et </w:t>
      </w:r>
      <w:r w:rsidR="0098002A">
        <w:t>couvre</w:t>
      </w:r>
      <w:r>
        <w:t>nt</w:t>
      </w:r>
      <w:r w:rsidR="0098002A">
        <w:t xml:space="preserve"> </w:t>
      </w:r>
      <w:r w:rsidR="009F71F0">
        <w:t xml:space="preserve">la totalité des pays </w:t>
      </w:r>
      <w:r w:rsidR="00DE1BF4">
        <w:t>de</w:t>
      </w:r>
      <w:r w:rsidR="009F71F0">
        <w:t xml:space="preserve"> l’échantillon</w:t>
      </w:r>
      <w:r w:rsidR="0006090B" w:rsidRPr="00207BD9">
        <w:t>. Ces données sont fusionnées av</w:t>
      </w:r>
      <w:r w:rsidR="006F12BD">
        <w:t>ec leur correspondance dans la</w:t>
      </w:r>
      <w:r w:rsidR="0006090B" w:rsidRPr="00207BD9">
        <w:t xml:space="preserve"> révision </w:t>
      </w:r>
      <w:r w:rsidR="006F12BD">
        <w:t xml:space="preserve">3 </w:t>
      </w:r>
      <w:r w:rsidR="0006090B" w:rsidRPr="00207BD9">
        <w:t xml:space="preserve">de la classification BEC (Broad Economic Categories) </w:t>
      </w:r>
      <w:r w:rsidR="00435BB3" w:rsidRPr="00207BD9">
        <w:t>et partagées</w:t>
      </w:r>
      <w:r w:rsidR="0006090B" w:rsidRPr="00207BD9">
        <w:t xml:space="preserve"> entre</w:t>
      </w:r>
      <w:r w:rsidR="003C64B8" w:rsidRPr="00207BD9">
        <w:t xml:space="preserve"> trois </w:t>
      </w:r>
      <w:r w:rsidR="00435BB3" w:rsidRPr="00207BD9">
        <w:t>sous-</w:t>
      </w:r>
      <w:r w:rsidR="003C64B8" w:rsidRPr="00207BD9">
        <w:t>catégories</w:t>
      </w:r>
      <w:r w:rsidR="00435BB3" w:rsidRPr="00207BD9">
        <w:t xml:space="preserve"> d’</w:t>
      </w:r>
      <w:r w:rsidR="009F71F0">
        <w:t>utilisation :</w:t>
      </w:r>
      <w:r w:rsidR="003C64B8" w:rsidRPr="00207BD9">
        <w:t xml:space="preserve"> </w:t>
      </w:r>
      <w:r w:rsidR="00786A1B" w:rsidRPr="00207BD9">
        <w:t>« </w:t>
      </w:r>
      <w:r w:rsidR="0006090B" w:rsidRPr="00207BD9">
        <w:t>biens intermédiaires</w:t>
      </w:r>
      <w:r w:rsidR="00786A1B" w:rsidRPr="00207BD9">
        <w:t> »</w:t>
      </w:r>
      <w:r w:rsidR="0006090B" w:rsidRPr="00207BD9">
        <w:t>,</w:t>
      </w:r>
      <w:r w:rsidR="003C64B8" w:rsidRPr="00207BD9">
        <w:t xml:space="preserve"> </w:t>
      </w:r>
      <w:r w:rsidR="00786A1B" w:rsidRPr="00207BD9">
        <w:t>« </w:t>
      </w:r>
      <w:r w:rsidR="0006090B" w:rsidRPr="00207BD9">
        <w:t>biens de consommation finale</w:t>
      </w:r>
      <w:r w:rsidR="00786A1B" w:rsidRPr="00207BD9">
        <w:t> »</w:t>
      </w:r>
      <w:r w:rsidR="0006090B" w:rsidRPr="00207BD9">
        <w:t xml:space="preserve"> et </w:t>
      </w:r>
      <w:r w:rsidR="00786A1B" w:rsidRPr="00207BD9">
        <w:t>« </w:t>
      </w:r>
      <w:r w:rsidR="0006090B" w:rsidRPr="00207BD9">
        <w:t>biens de capita</w:t>
      </w:r>
      <w:r w:rsidR="00435BB3" w:rsidRPr="00207BD9">
        <w:t>l</w:t>
      </w:r>
      <w:r w:rsidR="00786A1B" w:rsidRPr="00207BD9">
        <w:t> »</w:t>
      </w:r>
      <w:r w:rsidR="0006090B" w:rsidRPr="00207BD9">
        <w:rPr>
          <w:rStyle w:val="Appelnotedebasdep"/>
        </w:rPr>
        <w:footnoteReference w:id="10"/>
      </w:r>
      <w:r w:rsidR="0006090B" w:rsidRPr="00207BD9">
        <w:t xml:space="preserve">. Ce partage est également effectué avec les données de service. </w:t>
      </w:r>
      <w:r w:rsidR="00786A1B" w:rsidRPr="00207BD9">
        <w:t>Cependant,</w:t>
      </w:r>
      <w:r w:rsidR="0006090B" w:rsidRPr="00207BD9">
        <w:t xml:space="preserve"> </w:t>
      </w:r>
      <w:r w:rsidR="00786A1B" w:rsidRPr="00207BD9">
        <w:t xml:space="preserve">la source de </w:t>
      </w:r>
      <w:r w:rsidR="00C8119D" w:rsidRPr="00207BD9">
        <w:t xml:space="preserve">ces </w:t>
      </w:r>
      <w:r w:rsidR="0006090B" w:rsidRPr="00207BD9">
        <w:t xml:space="preserve">données ne </w:t>
      </w:r>
      <w:r w:rsidR="00786A1B" w:rsidRPr="00207BD9">
        <w:t>fournit</w:t>
      </w:r>
      <w:r w:rsidR="00435BB3" w:rsidRPr="00207BD9">
        <w:t xml:space="preserve"> aucune indication sur ce</w:t>
      </w:r>
      <w:r w:rsidR="006F12BD">
        <w:t>s</w:t>
      </w:r>
      <w:r w:rsidR="00435BB3" w:rsidRPr="00207BD9">
        <w:t xml:space="preserve"> </w:t>
      </w:r>
      <w:r w:rsidR="006F12BD">
        <w:t>sous-</w:t>
      </w:r>
      <w:r w:rsidR="00435BB3" w:rsidRPr="00207BD9">
        <w:t>catégorie</w:t>
      </w:r>
      <w:r w:rsidR="00E02D18">
        <w:t>s</w:t>
      </w:r>
      <w:r w:rsidR="0006090B" w:rsidRPr="00207BD9">
        <w:t xml:space="preserve">. </w:t>
      </w:r>
      <w:r w:rsidR="00435BB3" w:rsidRPr="00207BD9">
        <w:t xml:space="preserve">Des informations disponibles sur les </w:t>
      </w:r>
      <w:r w:rsidR="00040AD8">
        <w:t>TES publiés par l’Eurostat sont</w:t>
      </w:r>
      <w:r w:rsidR="00435BB3" w:rsidRPr="00207BD9">
        <w:t xml:space="preserve"> utilisées pour</w:t>
      </w:r>
      <w:r w:rsidR="0006090B" w:rsidRPr="00207BD9">
        <w:t xml:space="preserve"> estime</w:t>
      </w:r>
      <w:r w:rsidR="00435BB3" w:rsidRPr="00207BD9">
        <w:t>r</w:t>
      </w:r>
      <w:r w:rsidR="0006090B" w:rsidRPr="00207BD9">
        <w:t xml:space="preserve"> </w:t>
      </w:r>
      <w:r w:rsidR="00435BB3" w:rsidRPr="00207BD9">
        <w:t>la proportion de chaque catégorie dans les flux agrégés</w:t>
      </w:r>
      <w:r w:rsidR="00435BB3" w:rsidRPr="00207BD9">
        <w:rPr>
          <w:rStyle w:val="Appelnotedebasdep"/>
        </w:rPr>
        <w:footnoteReference w:id="11"/>
      </w:r>
      <w:r w:rsidR="00BF6B34" w:rsidRPr="00207BD9">
        <w:t>.</w:t>
      </w:r>
    </w:p>
    <w:p w:rsidR="0006090B" w:rsidRDefault="0006090B" w:rsidP="008F7917">
      <w:pPr>
        <w:spacing w:line="276" w:lineRule="auto"/>
      </w:pPr>
      <w:r w:rsidRPr="00207BD9">
        <w:t xml:space="preserve">Les données sont </w:t>
      </w:r>
      <w:r w:rsidR="00205AEF">
        <w:t>ensuite</w:t>
      </w:r>
      <w:r w:rsidRPr="00207BD9">
        <w:t xml:space="preserve"> fusionnées </w:t>
      </w:r>
      <w:r w:rsidR="00C8119D" w:rsidRPr="00207BD9">
        <w:t>à partir des codes</w:t>
      </w:r>
      <w:r w:rsidRPr="00207BD9">
        <w:t xml:space="preserve"> </w:t>
      </w:r>
      <w:r w:rsidR="00BF6B34" w:rsidRPr="00207BD9">
        <w:t xml:space="preserve">CPA </w:t>
      </w:r>
      <w:r w:rsidR="001132A9">
        <w:t>pour constituer une</w:t>
      </w:r>
      <w:r w:rsidRPr="00207BD9">
        <w:t xml:space="preserve"> </w:t>
      </w:r>
      <w:r w:rsidR="00BF6B34" w:rsidRPr="00207BD9">
        <w:t>base avec 35 secteurs selon la c</w:t>
      </w:r>
      <w:r w:rsidRPr="00207BD9">
        <w:t xml:space="preserve">lassification </w:t>
      </w:r>
      <w:r w:rsidR="00BF6B34" w:rsidRPr="00207BD9">
        <w:t>CITI</w:t>
      </w:r>
      <w:r w:rsidRPr="00207BD9">
        <w:t>. Des tables de correspondance sont utilisées</w:t>
      </w:r>
      <w:r w:rsidR="00BF6B34" w:rsidRPr="00207BD9">
        <w:t xml:space="preserve"> pour les données des biens. Pour les</w:t>
      </w:r>
      <w:r w:rsidRPr="00207BD9">
        <w:t xml:space="preserve"> service</w:t>
      </w:r>
      <w:r w:rsidR="00BF6B34" w:rsidRPr="00207BD9">
        <w:t>s</w:t>
      </w:r>
      <w:r w:rsidRPr="00207BD9">
        <w:t>, le niveau de détail fourni par la Balance des paiements n’est pas suffisant</w:t>
      </w:r>
      <w:r w:rsidR="00BF6B34" w:rsidRPr="00207BD9">
        <w:t xml:space="preserve"> et l</w:t>
      </w:r>
      <w:r w:rsidRPr="00207BD9">
        <w:t>a correspondance ne peut se faire dans les mêmes conditions.</w:t>
      </w:r>
    </w:p>
    <w:p w:rsidR="00EE480B" w:rsidRPr="002A465E" w:rsidRDefault="00207BD9" w:rsidP="008F7917">
      <w:pPr>
        <w:spacing w:line="276" w:lineRule="auto"/>
      </w:pPr>
      <w:r w:rsidRPr="00207BD9">
        <w:t>L’étape</w:t>
      </w:r>
      <w:r w:rsidR="00720499">
        <w:t xml:space="preserve"> suivante c</w:t>
      </w:r>
      <w:r w:rsidR="00E723F7">
        <w:t>onsiste à effectuer le partage d</w:t>
      </w:r>
      <w:r w:rsidR="00720499">
        <w:t>es importations à l’intérieur des catégories d’</w:t>
      </w:r>
      <w:r w:rsidRPr="00207BD9">
        <w:t xml:space="preserve">utilisation en fonction du pays d’origine des </w:t>
      </w:r>
      <w:r w:rsidR="00720499">
        <w:t>flux</w:t>
      </w:r>
      <w:r w:rsidRPr="00207BD9">
        <w:t>. Les</w:t>
      </w:r>
      <w:r w:rsidR="00720499">
        <w:t xml:space="preserve"> coefficients des</w:t>
      </w:r>
      <w:r w:rsidR="0006090B" w:rsidRPr="00207BD9">
        <w:t xml:space="preserve"> proportions </w:t>
      </w:r>
      <w:r w:rsidR="009A0C25" w:rsidRPr="00207BD9">
        <w:t>de chaque partenaire commercial dans les échanges bilatéra</w:t>
      </w:r>
      <w:r w:rsidR="00AF7825" w:rsidRPr="00207BD9">
        <w:t xml:space="preserve">ux </w:t>
      </w:r>
      <w:r w:rsidR="00786A1B" w:rsidRPr="00207BD9">
        <w:t>de chaque secteur</w:t>
      </w:r>
      <w:r w:rsidRPr="00207BD9">
        <w:t xml:space="preserve">, </w:t>
      </w:r>
      <w:r w:rsidR="00720499">
        <w:t>calculés à partir</w:t>
      </w:r>
      <w:r w:rsidR="0006090B" w:rsidRPr="00207BD9">
        <w:t xml:space="preserve"> des </w:t>
      </w:r>
      <w:r w:rsidR="007D68F5" w:rsidRPr="00207BD9">
        <w:t>S</w:t>
      </w:r>
      <w:r w:rsidR="0006090B" w:rsidRPr="00207BD9">
        <w:t>EI</w:t>
      </w:r>
      <w:r w:rsidR="009A0C25" w:rsidRPr="00207BD9">
        <w:t>,</w:t>
      </w:r>
      <w:r w:rsidR="0006090B" w:rsidRPr="00207BD9">
        <w:t xml:space="preserve"> sont employés</w:t>
      </w:r>
      <w:r w:rsidR="009A0C25" w:rsidRPr="00207BD9">
        <w:t xml:space="preserve"> pour</w:t>
      </w:r>
      <w:r w:rsidR="0006090B" w:rsidRPr="00207BD9">
        <w:t xml:space="preserve"> partage</w:t>
      </w:r>
      <w:r w:rsidR="009A0C25" w:rsidRPr="00207BD9">
        <w:t xml:space="preserve">r les données d’importation </w:t>
      </w:r>
      <w:r w:rsidR="00AF7825" w:rsidRPr="00207BD9">
        <w:t xml:space="preserve">sectorielles </w:t>
      </w:r>
      <w:r w:rsidR="0006090B" w:rsidRPr="00207BD9">
        <w:t>des TRE</w:t>
      </w:r>
      <w:r w:rsidR="00205AEF">
        <w:t xml:space="preserve"> (au niveau des 59 produits)</w:t>
      </w:r>
      <w:r w:rsidR="0006090B" w:rsidRPr="00207BD9">
        <w:t>, et ce partage est effectué à l’intérieur de chacune des 3 catégories BEC.</w:t>
      </w:r>
      <w:r w:rsidR="00AF7825" w:rsidRPr="00207BD9">
        <w:t xml:space="preserve"> </w:t>
      </w:r>
      <w:r w:rsidR="0006090B" w:rsidRPr="00207BD9">
        <w:rPr>
          <w:rFonts w:eastAsiaTheme="minorEastAsia"/>
        </w:rPr>
        <w:t>L’avantage de cette méthode est d’affiner les données d</w:t>
      </w:r>
      <w:r w:rsidR="00BF6B34" w:rsidRPr="00207BD9">
        <w:rPr>
          <w:rFonts w:eastAsiaTheme="minorEastAsia"/>
        </w:rPr>
        <w:t>e commerce</w:t>
      </w:r>
      <w:r w:rsidR="0006090B" w:rsidRPr="00207BD9">
        <w:rPr>
          <w:rFonts w:eastAsiaTheme="minorEastAsia"/>
        </w:rPr>
        <w:t xml:space="preserve"> </w:t>
      </w:r>
      <w:r w:rsidR="00BF6B34" w:rsidRPr="00207BD9">
        <w:rPr>
          <w:rFonts w:eastAsiaTheme="minorEastAsia"/>
        </w:rPr>
        <w:t>et</w:t>
      </w:r>
      <w:r w:rsidR="0006090B" w:rsidRPr="00207BD9">
        <w:rPr>
          <w:rFonts w:eastAsiaTheme="minorEastAsia"/>
        </w:rPr>
        <w:t xml:space="preserve"> de réduire le biais introduit par l’hypothèse standard de</w:t>
      </w:r>
      <w:r w:rsidR="001C1CD2">
        <w:rPr>
          <w:rFonts w:eastAsiaTheme="minorEastAsia"/>
        </w:rPr>
        <w:t xml:space="preserve"> la</w:t>
      </w:r>
      <w:r w:rsidR="0006090B" w:rsidRPr="00207BD9">
        <w:rPr>
          <w:rFonts w:eastAsiaTheme="minorEastAsia"/>
        </w:rPr>
        <w:t xml:space="preserve"> proportionnalité</w:t>
      </w:r>
      <w:r w:rsidR="0006090B" w:rsidRPr="00207BD9">
        <w:t xml:space="preserve"> (où la même proportion fixe de la consommation totale d’un produit est supposée être importée, indépendamment de son utilisation)</w:t>
      </w:r>
      <w:r w:rsidR="0006090B" w:rsidRPr="00207BD9">
        <w:rPr>
          <w:rFonts w:eastAsiaTheme="minorEastAsia"/>
        </w:rPr>
        <w:t>. Néanmoins</w:t>
      </w:r>
      <w:r w:rsidR="00720499">
        <w:rPr>
          <w:rFonts w:eastAsiaTheme="minorEastAsia"/>
        </w:rPr>
        <w:t>,</w:t>
      </w:r>
      <w:r w:rsidR="0006090B" w:rsidRPr="00207BD9">
        <w:rPr>
          <w:rFonts w:eastAsiaTheme="minorEastAsia"/>
        </w:rPr>
        <w:t xml:space="preserve"> à l’intérieur de chaque catégorie BEC, à cause d’un manque d’information supplémentaire, l’hypothèse de la proportionnalité est employée</w:t>
      </w:r>
      <w:r w:rsidR="0006090B" w:rsidRPr="00207BD9">
        <w:rPr>
          <w:rStyle w:val="Appelnotedebasdep"/>
          <w:rFonts w:eastAsiaTheme="minorEastAsia"/>
        </w:rPr>
        <w:footnoteReference w:id="12"/>
      </w:r>
      <w:r w:rsidR="0006090B" w:rsidRPr="00207BD9">
        <w:rPr>
          <w:rFonts w:eastAsiaTheme="minorEastAsia"/>
        </w:rPr>
        <w:t>.</w:t>
      </w:r>
    </w:p>
    <w:p w:rsidR="00BB1939" w:rsidRDefault="0006090B" w:rsidP="008F7917">
      <w:pPr>
        <w:spacing w:line="276" w:lineRule="auto"/>
      </w:pPr>
      <w:r w:rsidRPr="00873D1B">
        <w:rPr>
          <w:rFonts w:eastAsiaTheme="minorEastAsia"/>
        </w:rPr>
        <w:t xml:space="preserve">Ces traitements rendent possible la construction des TRE mondiaux. </w:t>
      </w:r>
      <w:r w:rsidR="00916E94">
        <w:t>L</w:t>
      </w:r>
      <w:r>
        <w:t xml:space="preserve">a dernière étape est </w:t>
      </w:r>
      <w:r w:rsidRPr="00B54F43">
        <w:t xml:space="preserve">le passage des TRE </w:t>
      </w:r>
      <w:r w:rsidR="00AF7825">
        <w:t>harmonisés</w:t>
      </w:r>
      <w:r w:rsidRPr="00B54F43">
        <w:t xml:space="preserve"> en données WIOT</w:t>
      </w:r>
      <w:r>
        <w:t xml:space="preserve"> symétriques (</w:t>
      </w:r>
      <w:r w:rsidR="00AF7825">
        <w:t>les TESI</w:t>
      </w:r>
      <w:r>
        <w:t>)</w:t>
      </w:r>
      <w:r w:rsidRPr="00B54F43">
        <w:t xml:space="preserve">. </w:t>
      </w:r>
      <w:r>
        <w:t xml:space="preserve">Plusieurs méthodes de transformation de TRE en TESI </w:t>
      </w:r>
      <w:r w:rsidR="0040485A">
        <w:t>coexistent</w:t>
      </w:r>
      <w:r>
        <w:t xml:space="preserve"> (voir Rueda-Cantuche</w:t>
      </w:r>
      <w:r w:rsidRPr="002A7989">
        <w:t xml:space="preserve"> &amp; Ten Raa</w:t>
      </w:r>
      <w:r>
        <w:t xml:space="preserve">, </w:t>
      </w:r>
      <w:r w:rsidRPr="002A7989">
        <w:t>2009)</w:t>
      </w:r>
      <w:r>
        <w:t>.</w:t>
      </w:r>
      <w:r w:rsidR="007751CA">
        <w:t xml:space="preserve"> Comme WIOD est une base désagrégée au niveau secteur-secteur, </w:t>
      </w:r>
      <w:r w:rsidR="00F747CF">
        <w:t>deux méthodes</w:t>
      </w:r>
      <w:r w:rsidR="00720499">
        <w:t xml:space="preserve"> principales</w:t>
      </w:r>
      <w:r w:rsidR="00E0100B">
        <w:t xml:space="preserve"> peuvent être appliqué</w:t>
      </w:r>
      <w:r w:rsidR="00F747CF">
        <w:t>e</w:t>
      </w:r>
      <w:r w:rsidR="00E0100B">
        <w:t>s</w:t>
      </w:r>
      <w:r w:rsidR="00BB1939" w:rsidRPr="00E0100B">
        <w:t xml:space="preserve">. </w:t>
      </w:r>
      <w:r w:rsidR="00F27CC4">
        <w:t>Et e</w:t>
      </w:r>
      <w:r w:rsidR="00F747CF">
        <w:t>lles</w:t>
      </w:r>
      <w:r w:rsidR="00E0100B" w:rsidRPr="00E0100B">
        <w:t xml:space="preserve"> se distinguent </w:t>
      </w:r>
      <w:r w:rsidR="001132A9">
        <w:t xml:space="preserve">surtout </w:t>
      </w:r>
      <w:r w:rsidR="00E0100B" w:rsidRPr="00E0100B">
        <w:t>par le traitement des biens et services secondaires.</w:t>
      </w:r>
      <w:r w:rsidR="00E0100B">
        <w:t xml:space="preserve"> </w:t>
      </w:r>
      <w:r w:rsidR="00F747CF">
        <w:t>La méthode</w:t>
      </w:r>
      <w:r w:rsidR="00E0100B">
        <w:t xml:space="preserve"> </w:t>
      </w:r>
      <w:r w:rsidR="00F747CF">
        <w:t xml:space="preserve">employée (modèle D), </w:t>
      </w:r>
      <w:r w:rsidR="00E0100B">
        <w:t>s</w:t>
      </w:r>
      <w:r w:rsidR="00BB1939">
        <w:t>uppose que la</w:t>
      </w:r>
      <w:r w:rsidR="00BB1939" w:rsidRPr="00BB1939">
        <w:t xml:space="preserve"> structure des ventes de</w:t>
      </w:r>
      <w:r w:rsidR="00BB1939">
        <w:t>s</w:t>
      </w:r>
      <w:r w:rsidR="00BB1939" w:rsidRPr="00BB1939">
        <w:t xml:space="preserve"> produits</w:t>
      </w:r>
      <w:r w:rsidR="00BB1939">
        <w:t xml:space="preserve"> est fixe</w:t>
      </w:r>
      <w:r w:rsidR="00BB1939" w:rsidRPr="00BB1939">
        <w:t xml:space="preserve">. </w:t>
      </w:r>
      <w:r w:rsidR="00F747CF">
        <w:t>C</w:t>
      </w:r>
      <w:r w:rsidR="002F24D5">
        <w:t>haque produit possède</w:t>
      </w:r>
      <w:r w:rsidR="00BB1939" w:rsidRPr="00BB1939">
        <w:t xml:space="preserve"> sa </w:t>
      </w:r>
      <w:r w:rsidR="002F24D5">
        <w:t xml:space="preserve">propre </w:t>
      </w:r>
      <w:r w:rsidR="00BB1939" w:rsidRPr="00BB1939">
        <w:t>structure de vente</w:t>
      </w:r>
      <w:r w:rsidR="00BB1939">
        <w:t>, indépendamment du secteur de production</w:t>
      </w:r>
      <w:r w:rsidR="00BB1939" w:rsidRPr="00BB1939">
        <w:t xml:space="preserve">. </w:t>
      </w:r>
      <w:r w:rsidR="00BB1939">
        <w:t>P</w:t>
      </w:r>
      <w:r w:rsidR="00D35AC1">
        <w:t>ar conséquent, cette</w:t>
      </w:r>
      <w:r w:rsidR="00BB1939" w:rsidRPr="00BB1939">
        <w:t xml:space="preserve"> structure est supposée identique pour les </w:t>
      </w:r>
      <w:r w:rsidR="00D35AC1">
        <w:t xml:space="preserve">biens et services </w:t>
      </w:r>
      <w:r w:rsidR="00BB1939" w:rsidRPr="00BB1939">
        <w:t xml:space="preserve">produits en </w:t>
      </w:r>
      <w:r w:rsidR="00BB1939">
        <w:t>tant que production principale d’</w:t>
      </w:r>
      <w:r w:rsidR="00BB1939" w:rsidRPr="00BB1939">
        <w:t xml:space="preserve">un </w:t>
      </w:r>
      <w:r w:rsidR="00BB1939">
        <w:t>secteur ou comme production secondaire par un</w:t>
      </w:r>
      <w:r w:rsidR="00BB1939" w:rsidRPr="00BB1939">
        <w:t xml:space="preserve"> autre </w:t>
      </w:r>
      <w:r w:rsidR="00BB1939">
        <w:t>secteur</w:t>
      </w:r>
      <w:r w:rsidR="00F27CC4" w:rsidRPr="00E0100B">
        <w:rPr>
          <w:rStyle w:val="Appelnotedebasdep"/>
        </w:rPr>
        <w:footnoteReference w:id="13"/>
      </w:r>
      <w:r w:rsidR="00BB1939" w:rsidRPr="00BB1939">
        <w:t>.</w:t>
      </w:r>
    </w:p>
    <w:p w:rsidR="00451C4A" w:rsidRPr="00D35AC1" w:rsidRDefault="00451C4A" w:rsidP="008F7917">
      <w:pPr>
        <w:spacing w:line="276" w:lineRule="auto"/>
      </w:pPr>
    </w:p>
    <w:p w:rsidR="00B26E47" w:rsidRPr="00B26E47" w:rsidRDefault="00B26E47" w:rsidP="00B26E47">
      <w:pPr>
        <w:pStyle w:val="Paragraphedeliste"/>
        <w:numPr>
          <w:ilvl w:val="1"/>
          <w:numId w:val="1"/>
        </w:numPr>
        <w:spacing w:line="276" w:lineRule="auto"/>
        <w:rPr>
          <w:b/>
          <w:lang w:val="en-US"/>
        </w:rPr>
      </w:pPr>
      <w:r w:rsidRPr="00B26E47">
        <w:rPr>
          <w:b/>
          <w:lang w:val="en-US"/>
        </w:rPr>
        <w:t>La base TiVA</w:t>
      </w:r>
    </w:p>
    <w:p w:rsidR="00233ADE" w:rsidRDefault="00DF7A40" w:rsidP="008F7917">
      <w:pPr>
        <w:spacing w:line="276" w:lineRule="auto"/>
      </w:pPr>
      <w:r>
        <w:t>À</w:t>
      </w:r>
      <w:r w:rsidR="00D42C1C">
        <w:t xml:space="preserve"> la différence de la base WIOD, les données TiVA concernent principalement les indicateurs publiés directement sur le site de l’OCDE (</w:t>
      </w:r>
      <w:r w:rsidR="00D42C1C" w:rsidRPr="00D42C1C">
        <w:t>http://www.oecd.org/sti/ind/measuringtradeinvalue-addedanoecd-wtojointinitiative.htm</w:t>
      </w:r>
      <w:r w:rsidR="00D42C1C">
        <w:t xml:space="preserve">). La méthodologie </w:t>
      </w:r>
      <w:r w:rsidR="00E01694">
        <w:t>précise</w:t>
      </w:r>
      <w:r w:rsidR="00233ADE">
        <w:t xml:space="preserve"> </w:t>
      </w:r>
      <w:r w:rsidR="00D42C1C">
        <w:t>de calcul des indicateurs n’est pas présentée par les producteurs</w:t>
      </w:r>
      <w:r w:rsidR="00FC67D6">
        <w:t xml:space="preserve"> des données</w:t>
      </w:r>
      <w:r w:rsidR="00DD5CC7">
        <w:t xml:space="preserve"> (quelques articles</w:t>
      </w:r>
      <w:r w:rsidR="00F3579D">
        <w:t xml:space="preserve"> –</w:t>
      </w:r>
      <w:r w:rsidR="00DD5CC7">
        <w:t xml:space="preserve"> indépendants du projet </w:t>
      </w:r>
      <w:r w:rsidR="00F3579D">
        <w:t xml:space="preserve">– </w:t>
      </w:r>
      <w:r w:rsidR="00DD5CC7">
        <w:t>présentent néanmoins les calculs de certains indicateurs, comme Koopman et al., 2014)</w:t>
      </w:r>
      <w:r w:rsidR="00D42C1C">
        <w:t>, mais deux documents recensent la méthode de construction des TES</w:t>
      </w:r>
      <w:r w:rsidR="00DA21B4">
        <w:t xml:space="preserve"> harmonisés de l’OCDE</w:t>
      </w:r>
      <w:r w:rsidR="00D42C1C">
        <w:t xml:space="preserve"> </w:t>
      </w:r>
      <w:r w:rsidR="00DD5CC7">
        <w:t>(</w:t>
      </w:r>
      <w:r w:rsidR="00112ACA">
        <w:t>Yamano &amp; Ahmad, 2006 et Wixted et al., 2006)</w:t>
      </w:r>
      <w:r w:rsidR="00B73E8D">
        <w:t>, utilisés dans la construction des ICIO</w:t>
      </w:r>
      <w:r w:rsidR="00D658E9">
        <w:t>.</w:t>
      </w:r>
      <w:r w:rsidR="00FC67D6">
        <w:t xml:space="preserve"> La d</w:t>
      </w:r>
      <w:r w:rsidR="0031035F">
        <w:t>ocumentation n’est cependant</w:t>
      </w:r>
      <w:r w:rsidR="00F3579D">
        <w:t xml:space="preserve"> </w:t>
      </w:r>
      <w:r w:rsidR="00BA4257">
        <w:t>pas</w:t>
      </w:r>
      <w:r w:rsidR="00F3579D">
        <w:t xml:space="preserve"> </w:t>
      </w:r>
      <w:r w:rsidR="00E01694">
        <w:t>exhaustive</w:t>
      </w:r>
      <w:r w:rsidR="00FC67D6">
        <w:t>.</w:t>
      </w:r>
    </w:p>
    <w:p w:rsidR="008A7F4C" w:rsidRPr="0028607E" w:rsidRDefault="00E01694" w:rsidP="008F7917">
      <w:pPr>
        <w:spacing w:line="276" w:lineRule="auto"/>
      </w:pPr>
      <w:r>
        <w:t xml:space="preserve">Le processus de compilation des données nationales </w:t>
      </w:r>
      <w:r w:rsidR="00A06085">
        <w:t xml:space="preserve">par l’OCDE </w:t>
      </w:r>
      <w:r>
        <w:t>débute par une requête au</w:t>
      </w:r>
      <w:r w:rsidR="00DF7A40">
        <w:t>près des</w:t>
      </w:r>
      <w:r>
        <w:t xml:space="preserve"> INS pour fournir des TES conformément à une structure harmonisée</w:t>
      </w:r>
      <w:r w:rsidR="008A7F4C">
        <w:t>,</w:t>
      </w:r>
      <w:r>
        <w:t xml:space="preserve"> b</w:t>
      </w:r>
      <w:r w:rsidR="00DF7A40">
        <w:t>asée sur la Classification CITI</w:t>
      </w:r>
      <w:r>
        <w:t xml:space="preserve"> révision 3</w:t>
      </w:r>
      <w:r w:rsidR="00A36C79">
        <w:rPr>
          <w:rStyle w:val="Appelnotedebasdep"/>
        </w:rPr>
        <w:footnoteReference w:id="14"/>
      </w:r>
      <w:r>
        <w:t>.</w:t>
      </w:r>
      <w:r w:rsidR="008A7F4C">
        <w:t xml:space="preserve"> Mais une part importante des données envoyée</w:t>
      </w:r>
      <w:r w:rsidR="00FC2F44">
        <w:t>s ne suit pas cette structure.</w:t>
      </w:r>
      <w:r w:rsidR="008A7F4C">
        <w:t xml:space="preserve"> </w:t>
      </w:r>
      <w:r w:rsidR="00FC2F44">
        <w:t>D</w:t>
      </w:r>
      <w:r w:rsidR="008A7F4C">
        <w:t xml:space="preserve">ans ces cas, l’OCDE demande l’envoie de TRE, convertibles </w:t>
      </w:r>
      <w:r w:rsidR="002E0443">
        <w:t>facilement</w:t>
      </w:r>
      <w:r w:rsidR="008A7F4C">
        <w:t xml:space="preserve"> en TES. </w:t>
      </w:r>
      <w:r w:rsidR="008A7F4C">
        <w:rPr>
          <w:rFonts w:eastAsiaTheme="minorEastAsia"/>
        </w:rPr>
        <w:t>Les tables doivent ensuite être</w:t>
      </w:r>
      <w:r w:rsidR="008A7F4C" w:rsidRPr="008A7F4C">
        <w:rPr>
          <w:rFonts w:eastAsiaTheme="minorEastAsia"/>
        </w:rPr>
        <w:t xml:space="preserve"> con</w:t>
      </w:r>
      <w:r w:rsidR="0028607E">
        <w:rPr>
          <w:rFonts w:eastAsiaTheme="minorEastAsia"/>
        </w:rPr>
        <w:t>verties sur une base harmonisée, de sort</w:t>
      </w:r>
      <w:r w:rsidR="00E723F7">
        <w:rPr>
          <w:rFonts w:eastAsiaTheme="minorEastAsia"/>
        </w:rPr>
        <w:t>e</w:t>
      </w:r>
      <w:r w:rsidR="0028607E">
        <w:rPr>
          <w:rFonts w:eastAsiaTheme="minorEastAsia"/>
        </w:rPr>
        <w:t xml:space="preserve"> à être :</w:t>
      </w:r>
      <w:r w:rsidR="008A7F4C" w:rsidRPr="008A7F4C">
        <w:rPr>
          <w:rFonts w:eastAsiaTheme="minorEastAsia"/>
        </w:rPr>
        <w:t xml:space="preserve"> </w:t>
      </w:r>
      <w:r w:rsidR="0028607E">
        <w:rPr>
          <w:rFonts w:eastAsiaTheme="minorEastAsia"/>
        </w:rPr>
        <w:t xml:space="preserve">sur le format </w:t>
      </w:r>
      <w:r w:rsidR="0031035F">
        <w:rPr>
          <w:rFonts w:eastAsiaTheme="minorEastAsia"/>
        </w:rPr>
        <w:t xml:space="preserve">symétrique </w:t>
      </w:r>
      <w:r w:rsidR="0028607E">
        <w:rPr>
          <w:rFonts w:eastAsiaTheme="minorEastAsia"/>
        </w:rPr>
        <w:t>secteur-secteur</w:t>
      </w:r>
      <w:r w:rsidR="00A92CD3">
        <w:rPr>
          <w:rStyle w:val="Appelnotedebasdep"/>
          <w:rFonts w:eastAsiaTheme="minorEastAsia"/>
        </w:rPr>
        <w:footnoteReference w:id="15"/>
      </w:r>
      <w:r w:rsidR="0028607E">
        <w:rPr>
          <w:rFonts w:eastAsiaTheme="minorEastAsia"/>
        </w:rPr>
        <w:t>,</w:t>
      </w:r>
      <w:r w:rsidR="008A7F4C" w:rsidRPr="008A7F4C">
        <w:rPr>
          <w:rFonts w:eastAsiaTheme="minorEastAsia"/>
        </w:rPr>
        <w:t xml:space="preserve"> sur la m</w:t>
      </w:r>
      <w:r w:rsidR="00A06085">
        <w:rPr>
          <w:rFonts w:eastAsiaTheme="minorEastAsia"/>
        </w:rPr>
        <w:t>ême base de prix (prix de base),</w:t>
      </w:r>
      <w:r w:rsidR="008A7F4C" w:rsidRPr="008A7F4C">
        <w:rPr>
          <w:rFonts w:eastAsiaTheme="minorEastAsia"/>
        </w:rPr>
        <w:t xml:space="preserve"> alignée</w:t>
      </w:r>
      <w:r w:rsidR="0028607E">
        <w:rPr>
          <w:rFonts w:eastAsiaTheme="minorEastAsia"/>
        </w:rPr>
        <w:t>s</w:t>
      </w:r>
      <w:r w:rsidR="008A7F4C" w:rsidRPr="008A7F4C">
        <w:rPr>
          <w:rFonts w:eastAsiaTheme="minorEastAsia"/>
        </w:rPr>
        <w:t xml:space="preserve"> sur les classifications </w:t>
      </w:r>
      <w:r w:rsidR="0028607E">
        <w:rPr>
          <w:rFonts w:eastAsiaTheme="minorEastAsia"/>
        </w:rPr>
        <w:t>sectorielles</w:t>
      </w:r>
      <w:r w:rsidR="008A7F4C" w:rsidRPr="008A7F4C">
        <w:rPr>
          <w:rFonts w:eastAsiaTheme="minorEastAsia"/>
        </w:rPr>
        <w:t xml:space="preserve"> utilisé</w:t>
      </w:r>
      <w:r w:rsidR="0028607E">
        <w:rPr>
          <w:rFonts w:eastAsiaTheme="minorEastAsia"/>
        </w:rPr>
        <w:t>e</w:t>
      </w:r>
      <w:r w:rsidR="008A7F4C" w:rsidRPr="008A7F4C">
        <w:rPr>
          <w:rFonts w:eastAsiaTheme="minorEastAsia"/>
        </w:rPr>
        <w:t xml:space="preserve">s </w:t>
      </w:r>
      <w:r w:rsidR="00B73E8D">
        <w:rPr>
          <w:rFonts w:eastAsiaTheme="minorEastAsia"/>
        </w:rPr>
        <w:t>par</w:t>
      </w:r>
      <w:r w:rsidR="0028607E">
        <w:rPr>
          <w:rFonts w:eastAsiaTheme="minorEastAsia"/>
        </w:rPr>
        <w:t xml:space="preserve"> l’</w:t>
      </w:r>
      <w:r w:rsidR="008A7F4C" w:rsidRPr="008A7F4C">
        <w:rPr>
          <w:rFonts w:eastAsiaTheme="minorEastAsia"/>
        </w:rPr>
        <w:t>OCDE</w:t>
      </w:r>
      <w:r w:rsidR="00DF7A40">
        <w:rPr>
          <w:rFonts w:eastAsiaTheme="minorEastAsia"/>
        </w:rPr>
        <w:t>,</w:t>
      </w:r>
      <w:r w:rsidR="008A7F4C" w:rsidRPr="008A7F4C">
        <w:rPr>
          <w:rFonts w:eastAsiaTheme="minorEastAsia"/>
        </w:rPr>
        <w:t xml:space="preserve"> et aligné</w:t>
      </w:r>
      <w:r w:rsidR="0028607E">
        <w:rPr>
          <w:rFonts w:eastAsiaTheme="minorEastAsia"/>
        </w:rPr>
        <w:t>e</w:t>
      </w:r>
      <w:r w:rsidR="008A7F4C" w:rsidRPr="008A7F4C">
        <w:rPr>
          <w:rFonts w:eastAsiaTheme="minorEastAsia"/>
        </w:rPr>
        <w:t xml:space="preserve">s </w:t>
      </w:r>
      <w:r w:rsidR="0028607E">
        <w:rPr>
          <w:rFonts w:eastAsiaTheme="minorEastAsia"/>
        </w:rPr>
        <w:t>sur</w:t>
      </w:r>
      <w:r w:rsidR="008A7F4C" w:rsidRPr="008A7F4C">
        <w:rPr>
          <w:rFonts w:eastAsiaTheme="minorEastAsia"/>
        </w:rPr>
        <w:t xml:space="preserve"> </w:t>
      </w:r>
      <w:r w:rsidR="0028607E">
        <w:rPr>
          <w:rFonts w:eastAsiaTheme="minorEastAsia"/>
        </w:rPr>
        <w:t>les mêmes types de</w:t>
      </w:r>
      <w:r w:rsidR="00DF7A40">
        <w:rPr>
          <w:rFonts w:eastAsiaTheme="minorEastAsia"/>
        </w:rPr>
        <w:t>s</w:t>
      </w:r>
      <w:r w:rsidR="0028607E">
        <w:rPr>
          <w:rFonts w:eastAsiaTheme="minorEastAsia"/>
        </w:rPr>
        <w:t xml:space="preserve"> </w:t>
      </w:r>
      <w:r w:rsidR="008A7F4C" w:rsidRPr="008A7F4C">
        <w:rPr>
          <w:rFonts w:eastAsiaTheme="minorEastAsia"/>
        </w:rPr>
        <w:t>traitement</w:t>
      </w:r>
      <w:r w:rsidR="00DF7A40">
        <w:rPr>
          <w:rFonts w:eastAsiaTheme="minorEastAsia"/>
        </w:rPr>
        <w:t>s</w:t>
      </w:r>
      <w:r w:rsidR="008A7F4C" w:rsidRPr="008A7F4C">
        <w:rPr>
          <w:rFonts w:eastAsiaTheme="minorEastAsia"/>
        </w:rPr>
        <w:t xml:space="preserve"> </w:t>
      </w:r>
      <w:r w:rsidR="0028607E">
        <w:rPr>
          <w:rFonts w:eastAsiaTheme="minorEastAsia"/>
        </w:rPr>
        <w:t>et</w:t>
      </w:r>
      <w:r w:rsidR="008A7F4C" w:rsidRPr="008A7F4C">
        <w:rPr>
          <w:rFonts w:eastAsiaTheme="minorEastAsia"/>
        </w:rPr>
        <w:t xml:space="preserve"> concepts.</w:t>
      </w:r>
    </w:p>
    <w:p w:rsidR="00FC0DB9" w:rsidRPr="00DA21B4" w:rsidRDefault="00F36D57" w:rsidP="00FC0DB9">
      <w:pPr>
        <w:spacing w:line="276" w:lineRule="auto"/>
      </w:pPr>
      <w:r>
        <w:t>Le point principal dans la construction des ICIO est l’estimation des flux bilatéraux de commerce</w:t>
      </w:r>
      <w:r w:rsidR="00617559">
        <w:rPr>
          <w:rStyle w:val="Appelnotedebasdep"/>
        </w:rPr>
        <w:footnoteReference w:id="16"/>
      </w:r>
      <w:r>
        <w:t xml:space="preserve">. </w:t>
      </w:r>
      <w:r>
        <w:rPr>
          <w:rFonts w:eastAsiaTheme="minorEastAsia"/>
        </w:rPr>
        <w:t>Les TES harmonisés détaillent les transactions entre les secteurs domestiques et l</w:t>
      </w:r>
      <w:r>
        <w:t>e passage en TES internationaux nécessite des flux de biens et services intermédiaires entre les pays</w:t>
      </w:r>
      <w:r w:rsidR="00FC2F44">
        <w:rPr>
          <w:rStyle w:val="Appelnotedebasdep"/>
        </w:rPr>
        <w:footnoteReference w:id="17"/>
      </w:r>
      <w:r w:rsidR="00007DB0">
        <w:t xml:space="preserve">. </w:t>
      </w:r>
      <w:r w:rsidR="00FC0DB9">
        <w:rPr>
          <w:rFonts w:eastAsiaTheme="minorEastAsia"/>
        </w:rPr>
        <w:t>Les données de commerce internationa</w:t>
      </w:r>
      <w:r w:rsidR="00F155C3">
        <w:rPr>
          <w:rFonts w:eastAsiaTheme="minorEastAsia"/>
        </w:rPr>
        <w:t>l sont utilisées pour calculer d</w:t>
      </w:r>
      <w:r w:rsidR="00FC0DB9">
        <w:rPr>
          <w:rFonts w:eastAsiaTheme="minorEastAsia"/>
        </w:rPr>
        <w:t xml:space="preserve">es coefficients pour le partage des flux issus des INS, normalement unilatéraux, en flux </w:t>
      </w:r>
      <w:r w:rsidR="00DA21B4">
        <w:rPr>
          <w:rFonts w:eastAsiaTheme="minorEastAsia"/>
        </w:rPr>
        <w:t>bilatéraux</w:t>
      </w:r>
      <w:r w:rsidR="00FC0DB9">
        <w:rPr>
          <w:rStyle w:val="Appelnotedebasdep"/>
        </w:rPr>
        <w:footnoteReference w:id="18"/>
      </w:r>
      <w:r w:rsidR="00FC0DB9">
        <w:rPr>
          <w:rFonts w:eastAsiaTheme="minorEastAsia"/>
        </w:rPr>
        <w:t>. Pour les biens, ces données proviennent d</w:t>
      </w:r>
      <w:r w:rsidR="00FC0DB9">
        <w:rPr>
          <w:rStyle w:val="hps"/>
        </w:rPr>
        <w:t>e la base BTDIxE (Bilateral trade database by industry and use-category). Pour les services, l’OCDE utilise les données bilatérales de la base TIS (trade in services)</w:t>
      </w:r>
      <w:r w:rsidR="002E0443">
        <w:rPr>
          <w:rStyle w:val="hps"/>
        </w:rPr>
        <w:t>,</w:t>
      </w:r>
      <w:r w:rsidR="00FC0DB9">
        <w:rPr>
          <w:rStyle w:val="hps"/>
        </w:rPr>
        <w:t xml:space="preserve"> avec la classification </w:t>
      </w:r>
      <w:r w:rsidR="00FC0DB9" w:rsidRPr="003A1C14">
        <w:t>élargie des services de la balance des paiements</w:t>
      </w:r>
      <w:r w:rsidR="00FC0DB9">
        <w:rPr>
          <w:rStyle w:val="hps"/>
        </w:rPr>
        <w:t xml:space="preserve"> (EBOPS)</w:t>
      </w:r>
      <w:r w:rsidR="00FC0DB9">
        <w:rPr>
          <w:rStyle w:val="Appelnotedebasdep"/>
        </w:rPr>
        <w:footnoteReference w:id="19"/>
      </w:r>
      <w:r w:rsidR="00FC0DB9">
        <w:rPr>
          <w:rStyle w:val="hps"/>
        </w:rPr>
        <w:t>.</w:t>
      </w:r>
      <w:r w:rsidR="00617559">
        <w:rPr>
          <w:rFonts w:eastAsiaTheme="minorEastAsia"/>
        </w:rPr>
        <w:t xml:space="preserve"> L</w:t>
      </w:r>
      <w:r w:rsidR="00FC0DB9">
        <w:rPr>
          <w:rFonts w:eastAsiaTheme="minorEastAsia"/>
        </w:rPr>
        <w:t xml:space="preserve">es données sont rajustées pour des fins analytiques (des traitements tels que pour les flux confidentiels, les réexportations) et </w:t>
      </w:r>
      <w:r w:rsidR="00617559">
        <w:rPr>
          <w:rFonts w:eastAsiaTheme="minorEastAsia"/>
        </w:rPr>
        <w:t xml:space="preserve">les flux en </w:t>
      </w:r>
      <w:r w:rsidR="00582D1A">
        <w:rPr>
          <w:rFonts w:eastAsiaTheme="minorEastAsia"/>
        </w:rPr>
        <w:t>CAF</w:t>
      </w:r>
      <w:r w:rsidR="00617559">
        <w:rPr>
          <w:rFonts w:eastAsiaTheme="minorEastAsia"/>
        </w:rPr>
        <w:t xml:space="preserve"> sont transformé</w:t>
      </w:r>
      <w:r w:rsidR="00582D1A">
        <w:rPr>
          <w:rFonts w:eastAsiaTheme="minorEastAsia"/>
        </w:rPr>
        <w:t>s en FAB</w:t>
      </w:r>
      <w:r w:rsidR="00FC0DB9">
        <w:rPr>
          <w:rFonts w:eastAsiaTheme="minorEastAsia"/>
        </w:rPr>
        <w:t xml:space="preserve"> pour réduire les asymétries </w:t>
      </w:r>
      <w:r w:rsidR="00617559">
        <w:rPr>
          <w:rFonts w:eastAsiaTheme="minorEastAsia"/>
        </w:rPr>
        <w:t xml:space="preserve">dans les données commerciales </w:t>
      </w:r>
      <w:r w:rsidR="00FC0DB9">
        <w:rPr>
          <w:rFonts w:eastAsiaTheme="minorEastAsia"/>
        </w:rPr>
        <w:t xml:space="preserve">entre pays. </w:t>
      </w:r>
      <w:r>
        <w:rPr>
          <w:rFonts w:eastAsiaTheme="minorEastAsia"/>
        </w:rPr>
        <w:t>L</w:t>
      </w:r>
      <w:r w:rsidR="008C0B4F">
        <w:rPr>
          <w:rFonts w:eastAsiaTheme="minorEastAsia"/>
        </w:rPr>
        <w:t xml:space="preserve">’OCDE utilise </w:t>
      </w:r>
      <w:r w:rsidR="00FC0DB9">
        <w:rPr>
          <w:rFonts w:eastAsiaTheme="minorEastAsia"/>
        </w:rPr>
        <w:t xml:space="preserve">ensuite </w:t>
      </w:r>
      <w:r w:rsidR="008C0B4F">
        <w:rPr>
          <w:rFonts w:eastAsiaTheme="minorEastAsia"/>
        </w:rPr>
        <w:t>des tableaux d’importation</w:t>
      </w:r>
      <w:r>
        <w:rPr>
          <w:rFonts w:eastAsiaTheme="minorEastAsia"/>
        </w:rPr>
        <w:t xml:space="preserve"> dans cette transformation</w:t>
      </w:r>
      <w:r w:rsidR="008C0B4F">
        <w:rPr>
          <w:rFonts w:eastAsiaTheme="minorEastAsia"/>
        </w:rPr>
        <w:t xml:space="preserve">, </w:t>
      </w:r>
      <w:r w:rsidR="00B27152">
        <w:rPr>
          <w:rFonts w:eastAsiaTheme="minorEastAsia"/>
        </w:rPr>
        <w:t>qui décomposent les im</w:t>
      </w:r>
      <w:r w:rsidR="008C0B4F">
        <w:rPr>
          <w:rFonts w:eastAsiaTheme="minorEastAsia"/>
        </w:rPr>
        <w:t xml:space="preserve">portations </w:t>
      </w:r>
      <w:r w:rsidR="00007DB0">
        <w:rPr>
          <w:rFonts w:eastAsiaTheme="minorEastAsia"/>
        </w:rPr>
        <w:t xml:space="preserve">bilatérales </w:t>
      </w:r>
      <w:r w:rsidR="00B27152">
        <w:rPr>
          <w:rFonts w:eastAsiaTheme="minorEastAsia"/>
        </w:rPr>
        <w:t>par utilisateurs</w:t>
      </w:r>
      <w:r w:rsidR="00081C5B">
        <w:rPr>
          <w:rFonts w:eastAsiaTheme="minorEastAsia"/>
        </w:rPr>
        <w:t xml:space="preserve"> finaux</w:t>
      </w:r>
      <w:r w:rsidR="00B27152">
        <w:rPr>
          <w:rFonts w:eastAsiaTheme="minorEastAsia"/>
        </w:rPr>
        <w:t xml:space="preserve"> (intermédiaires et </w:t>
      </w:r>
      <w:r w:rsidR="00D31971">
        <w:rPr>
          <w:rFonts w:eastAsiaTheme="minorEastAsia"/>
        </w:rPr>
        <w:t>les différentes catégories d</w:t>
      </w:r>
      <w:r w:rsidR="00081C5B">
        <w:rPr>
          <w:rFonts w:eastAsiaTheme="minorEastAsia"/>
        </w:rPr>
        <w:t>e demande</w:t>
      </w:r>
      <w:r w:rsidR="00D31971">
        <w:rPr>
          <w:rFonts w:eastAsiaTheme="minorEastAsia"/>
        </w:rPr>
        <w:t xml:space="preserve"> finale</w:t>
      </w:r>
      <w:r w:rsidR="00B27152">
        <w:rPr>
          <w:rFonts w:eastAsiaTheme="minorEastAsia"/>
        </w:rPr>
        <w:t>)</w:t>
      </w:r>
      <w:r w:rsidR="00FC0DB9">
        <w:rPr>
          <w:rStyle w:val="Appelnotedebasdep"/>
          <w:rFonts w:eastAsiaTheme="minorEastAsia"/>
        </w:rPr>
        <w:footnoteReference w:id="20"/>
      </w:r>
      <w:r w:rsidR="00B27152">
        <w:rPr>
          <w:rFonts w:eastAsiaTheme="minorEastAsia"/>
        </w:rPr>
        <w:t xml:space="preserve">. </w:t>
      </w:r>
      <w:r w:rsidR="00FC0DB9">
        <w:rPr>
          <w:rFonts w:eastAsiaTheme="minorEastAsia"/>
        </w:rPr>
        <w:t xml:space="preserve">La construction de ces matrices d’importation s’appuie sur l’hypothèse de la proportionnalité, </w:t>
      </w:r>
      <w:r w:rsidR="00FC0DB9">
        <w:rPr>
          <w:rStyle w:val="hps"/>
        </w:rPr>
        <w:t>qui suppose que la</w:t>
      </w:r>
      <w:r w:rsidR="00FC0DB9">
        <w:t xml:space="preserve"> </w:t>
      </w:r>
      <w:r w:rsidR="00FC0DB9">
        <w:rPr>
          <w:rStyle w:val="hps"/>
        </w:rPr>
        <w:t>part des importations dans</w:t>
      </w:r>
      <w:r w:rsidR="00FC0DB9">
        <w:t xml:space="preserve"> </w:t>
      </w:r>
      <w:r w:rsidR="00FC0DB9">
        <w:rPr>
          <w:rStyle w:val="hps"/>
        </w:rPr>
        <w:t>la</w:t>
      </w:r>
      <w:r w:rsidR="00FC0DB9">
        <w:t xml:space="preserve"> </w:t>
      </w:r>
      <w:r w:rsidR="00FC0DB9">
        <w:rPr>
          <w:rStyle w:val="hps"/>
        </w:rPr>
        <w:t>consommation</w:t>
      </w:r>
      <w:r w:rsidR="00FC0DB9">
        <w:t xml:space="preserve"> </w:t>
      </w:r>
      <w:r w:rsidR="00FC0DB9">
        <w:rPr>
          <w:rStyle w:val="hps"/>
        </w:rPr>
        <w:t>intermédiaire ou dans la demande finale (à l’exception</w:t>
      </w:r>
      <w:r w:rsidR="00FC0DB9">
        <w:t xml:space="preserve"> </w:t>
      </w:r>
      <w:r w:rsidR="00FC0DB9">
        <w:rPr>
          <w:rStyle w:val="hps"/>
        </w:rPr>
        <w:t>des exportations</w:t>
      </w:r>
      <w:r w:rsidR="00FC0DB9">
        <w:t xml:space="preserve">) </w:t>
      </w:r>
      <w:r w:rsidR="00FC0DB9">
        <w:rPr>
          <w:rStyle w:val="hps"/>
        </w:rPr>
        <w:t>est la même</w:t>
      </w:r>
      <w:r w:rsidR="00FC0DB9">
        <w:t xml:space="preserve"> </w:t>
      </w:r>
      <w:r w:rsidR="00FC0DB9">
        <w:rPr>
          <w:rStyle w:val="hps"/>
        </w:rPr>
        <w:t>pour tous les utilisateurs</w:t>
      </w:r>
      <w:r w:rsidR="00FC0DB9">
        <w:rPr>
          <w:rStyle w:val="Appelnotedebasdep"/>
        </w:rPr>
        <w:footnoteReference w:id="21"/>
      </w:r>
      <w:r w:rsidR="00FC0DB9">
        <w:t>.</w:t>
      </w:r>
    </w:p>
    <w:p w:rsidR="001C1CD2" w:rsidRDefault="00DA21B4" w:rsidP="008F7917">
      <w:pPr>
        <w:spacing w:line="276" w:lineRule="auto"/>
      </w:pPr>
      <w:r>
        <w:rPr>
          <w:rFonts w:eastAsiaTheme="minorEastAsia"/>
        </w:rPr>
        <w:t xml:space="preserve">Les tables internationales sont </w:t>
      </w:r>
      <w:r w:rsidR="00E723F7">
        <w:rPr>
          <w:rFonts w:eastAsiaTheme="minorEastAsia"/>
        </w:rPr>
        <w:t xml:space="preserve">ensuite </w:t>
      </w:r>
      <w:r>
        <w:rPr>
          <w:rFonts w:eastAsiaTheme="minorEastAsia"/>
        </w:rPr>
        <w:t xml:space="preserve">soumises à des ajustements finaux. </w:t>
      </w:r>
      <w:r w:rsidR="000A5411">
        <w:rPr>
          <w:rFonts w:eastAsiaTheme="minorEastAsia"/>
        </w:rPr>
        <w:t xml:space="preserve">Ces </w:t>
      </w:r>
      <w:r w:rsidR="000E1F82">
        <w:rPr>
          <w:rFonts w:eastAsiaTheme="minorEastAsia"/>
        </w:rPr>
        <w:t>ajustements</w:t>
      </w:r>
      <w:r w:rsidR="00617559">
        <w:rPr>
          <w:rFonts w:eastAsiaTheme="minorEastAsia"/>
        </w:rPr>
        <w:t xml:space="preserve"> concernent principalement d</w:t>
      </w:r>
      <w:r w:rsidR="000A5411">
        <w:rPr>
          <w:rFonts w:eastAsiaTheme="minorEastAsia"/>
        </w:rPr>
        <w:t>e</w:t>
      </w:r>
      <w:r w:rsidR="00617559">
        <w:rPr>
          <w:rFonts w:eastAsiaTheme="minorEastAsia"/>
        </w:rPr>
        <w:t>s</w:t>
      </w:r>
      <w:r w:rsidR="000A5411">
        <w:rPr>
          <w:rFonts w:eastAsiaTheme="minorEastAsia"/>
        </w:rPr>
        <w:t xml:space="preserve"> traitement</w:t>
      </w:r>
      <w:r w:rsidR="00617559">
        <w:rPr>
          <w:rFonts w:eastAsiaTheme="minorEastAsia"/>
        </w:rPr>
        <w:t>s pour</w:t>
      </w:r>
      <w:r w:rsidR="000A5411">
        <w:rPr>
          <w:rFonts w:eastAsiaTheme="minorEastAsia"/>
        </w:rPr>
        <w:t xml:space="preserve"> </w:t>
      </w:r>
      <w:r w:rsidR="00617559">
        <w:rPr>
          <w:rFonts w:eastAsiaTheme="minorEastAsia"/>
        </w:rPr>
        <w:t>l</w:t>
      </w:r>
      <w:r w:rsidR="000A5411">
        <w:rPr>
          <w:rFonts w:eastAsiaTheme="minorEastAsia"/>
        </w:rPr>
        <w:t>es secteurs manquants et l’estimation de l’observation RoW (reste du monde) à partir d</w:t>
      </w:r>
      <w:r w:rsidR="00445D8B">
        <w:rPr>
          <w:rFonts w:eastAsiaTheme="minorEastAsia"/>
        </w:rPr>
        <w:t>es</w:t>
      </w:r>
      <w:r w:rsidR="000A5411">
        <w:rPr>
          <w:rFonts w:eastAsiaTheme="minorEastAsia"/>
        </w:rPr>
        <w:t xml:space="preserve"> résidu</w:t>
      </w:r>
      <w:r w:rsidR="00445D8B">
        <w:rPr>
          <w:rFonts w:eastAsiaTheme="minorEastAsia"/>
        </w:rPr>
        <w:t>s</w:t>
      </w:r>
      <w:r w:rsidR="000A5411">
        <w:rPr>
          <w:rFonts w:eastAsiaTheme="minorEastAsia"/>
        </w:rPr>
        <w:t xml:space="preserve"> </w:t>
      </w:r>
      <w:r w:rsidR="00070582">
        <w:rPr>
          <w:rFonts w:eastAsiaTheme="minorEastAsia"/>
        </w:rPr>
        <w:t xml:space="preserve">de la différence </w:t>
      </w:r>
      <w:r w:rsidR="000A5411">
        <w:rPr>
          <w:rFonts w:eastAsiaTheme="minorEastAsia"/>
        </w:rPr>
        <w:t>entre le commerce total et le commerce avec les pays couverts dans l’échantillon.</w:t>
      </w:r>
      <w:r w:rsidR="00840A05">
        <w:rPr>
          <w:rFonts w:eastAsiaTheme="minorEastAsia"/>
        </w:rPr>
        <w:t xml:space="preserve"> </w:t>
      </w:r>
      <w:r w:rsidR="000E1F82">
        <w:rPr>
          <w:rStyle w:val="hps"/>
        </w:rPr>
        <w:t>Des méthodes</w:t>
      </w:r>
      <w:r w:rsidR="000E1F82">
        <w:t xml:space="preserve"> </w:t>
      </w:r>
      <w:r w:rsidR="00E723F7">
        <w:rPr>
          <w:rStyle w:val="hps"/>
        </w:rPr>
        <w:t>bi-proportionnelles</w:t>
      </w:r>
      <w:r w:rsidR="000E1F82">
        <w:rPr>
          <w:rFonts w:eastAsiaTheme="minorEastAsia"/>
        </w:rPr>
        <w:t xml:space="preserve"> sont final</w:t>
      </w:r>
      <w:r w:rsidR="00070582">
        <w:rPr>
          <w:rFonts w:eastAsiaTheme="minorEastAsia"/>
        </w:rPr>
        <w:t>ement employées pour minimiser l</w:t>
      </w:r>
      <w:r w:rsidR="000E1F82">
        <w:rPr>
          <w:rFonts w:eastAsiaTheme="minorEastAsia"/>
        </w:rPr>
        <w:t>es valeurs aberrantes sur certaines colonnes des ICIO.</w:t>
      </w:r>
    </w:p>
    <w:p w:rsidR="001C1CD2" w:rsidRDefault="001C1CD2" w:rsidP="008F7917">
      <w:pPr>
        <w:spacing w:line="276" w:lineRule="auto"/>
      </w:pPr>
    </w:p>
    <w:p w:rsidR="0084157C" w:rsidRDefault="0084157C" w:rsidP="008F7917">
      <w:pPr>
        <w:spacing w:line="276" w:lineRule="auto"/>
      </w:pPr>
    </w:p>
    <w:p w:rsidR="00886751" w:rsidRPr="00A66B7C" w:rsidRDefault="00CA4B55" w:rsidP="00886751">
      <w:pPr>
        <w:pStyle w:val="Paragraphedeliste"/>
        <w:numPr>
          <w:ilvl w:val="0"/>
          <w:numId w:val="1"/>
        </w:numPr>
        <w:spacing w:line="276" w:lineRule="auto"/>
        <w:rPr>
          <w:b/>
          <w:u w:val="single"/>
        </w:rPr>
      </w:pPr>
      <w:r w:rsidRPr="00CA4B55">
        <w:rPr>
          <w:b/>
          <w:u w:val="single"/>
        </w:rPr>
        <w:t>Comparaisons empiriques</w:t>
      </w:r>
    </w:p>
    <w:p w:rsidR="00042E15" w:rsidRDefault="00811846" w:rsidP="001F3FA1">
      <w:pPr>
        <w:spacing w:line="276" w:lineRule="auto"/>
      </w:pPr>
      <w:r>
        <w:t xml:space="preserve">La section </w:t>
      </w:r>
      <w:r w:rsidR="003C6ABE">
        <w:t xml:space="preserve">compare </w:t>
      </w:r>
      <w:r w:rsidR="007746B2">
        <w:t>l</w:t>
      </w:r>
      <w:r w:rsidR="00031EB6">
        <w:t>es données</w:t>
      </w:r>
      <w:r>
        <w:t xml:space="preserve"> pour la France </w:t>
      </w:r>
      <w:r w:rsidR="00CA291F">
        <w:t>publiées par</w:t>
      </w:r>
      <w:r>
        <w:t xml:space="preserve"> </w:t>
      </w:r>
      <w:r w:rsidR="00886751">
        <w:t>WIOD,</w:t>
      </w:r>
      <w:r w:rsidR="00CA291F">
        <w:t xml:space="preserve"> TiVA </w:t>
      </w:r>
      <w:r>
        <w:t xml:space="preserve">et par </w:t>
      </w:r>
      <w:r w:rsidR="00031EB6">
        <w:t xml:space="preserve">la </w:t>
      </w:r>
      <w:r w:rsidR="00B814A5">
        <w:t>balance des pai</w:t>
      </w:r>
      <w:r>
        <w:t xml:space="preserve">ements. </w:t>
      </w:r>
      <w:r w:rsidR="005D1F95">
        <w:t xml:space="preserve">Les deux </w:t>
      </w:r>
      <w:r w:rsidR="00886751">
        <w:t xml:space="preserve">premières </w:t>
      </w:r>
      <w:r w:rsidR="005D1F95">
        <w:t xml:space="preserve">bases utilisent la même source </w:t>
      </w:r>
      <w:r w:rsidR="00513A57">
        <w:t xml:space="preserve">et les données brutes d’échange proviennent de </w:t>
      </w:r>
      <w:r w:rsidR="00031EB6">
        <w:t>l’INSEE</w:t>
      </w:r>
      <w:r w:rsidR="005D1F95">
        <w:t>, tandis que</w:t>
      </w:r>
      <w:r w:rsidR="00EF15C7">
        <w:t xml:space="preserve"> </w:t>
      </w:r>
      <w:r w:rsidR="005D1F95">
        <w:t>l</w:t>
      </w:r>
      <w:r w:rsidR="003F176C">
        <w:t xml:space="preserve">a </w:t>
      </w:r>
      <w:r w:rsidR="00264768">
        <w:t>troisième base</w:t>
      </w:r>
      <w:r w:rsidR="003F176C">
        <w:t xml:space="preserve"> est établie par la Banque de France. </w:t>
      </w:r>
      <w:r w:rsidR="00886751">
        <w:t>C</w:t>
      </w:r>
      <w:r w:rsidR="008762BA">
        <w:t xml:space="preserve">es deux </w:t>
      </w:r>
      <w:r w:rsidR="007746B2">
        <w:t>source</w:t>
      </w:r>
      <w:r w:rsidR="008762BA">
        <w:t>s</w:t>
      </w:r>
      <w:r w:rsidR="007746B2">
        <w:t xml:space="preserve"> </w:t>
      </w:r>
      <w:r w:rsidR="00264768">
        <w:t xml:space="preserve">distinctes </w:t>
      </w:r>
      <w:r w:rsidR="007746B2">
        <w:t>présentent historiquement des légères différences</w:t>
      </w:r>
      <w:r w:rsidR="00886751">
        <w:t xml:space="preserve"> pour les données de commerce</w:t>
      </w:r>
      <w:r w:rsidR="00264768">
        <w:t>. E</w:t>
      </w:r>
      <w:r w:rsidR="008762BA">
        <w:t>n 2010, par exemple, le besoin de financement de la France vis-à-vis du reste du monde s’est établit à 34,8 milliards d’euros par les comptes nation</w:t>
      </w:r>
      <w:r w:rsidR="00F96C2F">
        <w:t>aux et à 25,4 milliards par</w:t>
      </w:r>
      <w:r w:rsidR="008762BA">
        <w:t xml:space="preserve"> le rapport annuel 2012 de la balance des paiements</w:t>
      </w:r>
      <w:r w:rsidR="00264768">
        <w:t xml:space="preserve"> (INSEE, 2014</w:t>
      </w:r>
      <w:r w:rsidR="008762BA">
        <w:t>)</w:t>
      </w:r>
      <w:r w:rsidR="00C17DA3">
        <w:rPr>
          <w:rStyle w:val="Appelnotedebasdep"/>
        </w:rPr>
        <w:footnoteReference w:id="22"/>
      </w:r>
      <w:r w:rsidR="00C17DA3">
        <w:t>.</w:t>
      </w:r>
      <w:r w:rsidR="00EE5C6B">
        <w:t xml:space="preserve"> </w:t>
      </w:r>
      <w:r w:rsidR="00513A57">
        <w:t xml:space="preserve">Les données brutes publiées par </w:t>
      </w:r>
      <w:r w:rsidR="00EF15C7">
        <w:t>l</w:t>
      </w:r>
      <w:r w:rsidR="00513A57">
        <w:t xml:space="preserve">es bases </w:t>
      </w:r>
      <w:r w:rsidR="00EF15C7">
        <w:t xml:space="preserve">en valeur ajoutée </w:t>
      </w:r>
      <w:r w:rsidR="00261990">
        <w:t xml:space="preserve">(WIOD et TiVA) </w:t>
      </w:r>
      <w:r w:rsidR="00513A57">
        <w:t>devraient donc coïncider</w:t>
      </w:r>
      <w:r w:rsidR="00886751">
        <w:t xml:space="preserve"> entre elles</w:t>
      </w:r>
      <w:r w:rsidR="00513A57">
        <w:t xml:space="preserve">, avec des </w:t>
      </w:r>
      <w:r w:rsidR="00EE5C6B">
        <w:t xml:space="preserve">légers </w:t>
      </w:r>
      <w:r w:rsidR="00513A57">
        <w:t>écarts dus aux traitements appliqués sur les données sources ou aux versions utilisées</w:t>
      </w:r>
      <w:r w:rsidR="00513A57">
        <w:rPr>
          <w:rStyle w:val="Appelnotedebasdep"/>
        </w:rPr>
        <w:footnoteReference w:id="23"/>
      </w:r>
      <w:r w:rsidR="00513A57">
        <w:t xml:space="preserve">. </w:t>
      </w:r>
      <w:r w:rsidR="005D1F95">
        <w:t>Mais i</w:t>
      </w:r>
      <w:r w:rsidR="00513A57">
        <w:t xml:space="preserve">l ne </w:t>
      </w:r>
      <w:r w:rsidR="00EF15C7">
        <w:t xml:space="preserve">devrait </w:t>
      </w:r>
      <w:r w:rsidR="00513A57">
        <w:t xml:space="preserve">pas </w:t>
      </w:r>
      <w:r w:rsidR="00E723F7">
        <w:t xml:space="preserve">en </w:t>
      </w:r>
      <w:r w:rsidR="00EF15C7">
        <w:t xml:space="preserve">être </w:t>
      </w:r>
      <w:r w:rsidR="00513A57">
        <w:t>de même pour</w:t>
      </w:r>
      <w:r w:rsidR="005D1F95">
        <w:t xml:space="preserve"> </w:t>
      </w:r>
      <w:r w:rsidR="00513A57">
        <w:t>les données de la Banque de France.</w:t>
      </w:r>
    </w:p>
    <w:p w:rsidR="0084157C" w:rsidRDefault="0084157C" w:rsidP="001F3FA1">
      <w:pPr>
        <w:spacing w:line="276" w:lineRule="auto"/>
      </w:pPr>
    </w:p>
    <w:p w:rsidR="00042E15" w:rsidRPr="006E192C" w:rsidRDefault="006E192C" w:rsidP="001F3FA1">
      <w:pPr>
        <w:spacing w:line="276" w:lineRule="auto"/>
        <w:rPr>
          <w:b/>
        </w:rPr>
      </w:pPr>
      <w:r w:rsidRPr="00042E15">
        <w:rPr>
          <w:b/>
          <w:u w:val="single"/>
        </w:rPr>
        <w:t>Graphique 1 </w:t>
      </w:r>
      <w:r w:rsidRPr="00042E15">
        <w:rPr>
          <w:b/>
        </w:rPr>
        <w:t>: Export</w:t>
      </w:r>
      <w:r w:rsidR="008A48D1">
        <w:rPr>
          <w:b/>
        </w:rPr>
        <w:t>ations de la France (en milliards</w:t>
      </w:r>
      <w:r w:rsidRPr="00042E15">
        <w:rPr>
          <w:b/>
        </w:rPr>
        <w:t xml:space="preserve"> d’euros)</w:t>
      </w:r>
    </w:p>
    <w:p w:rsidR="006E192C" w:rsidRDefault="007746B2" w:rsidP="006E192C">
      <w:pPr>
        <w:spacing w:after="0"/>
      </w:pPr>
      <w:r w:rsidRPr="007746B2">
        <w:rPr>
          <w:noProof/>
        </w:rPr>
        <w:drawing>
          <wp:inline distT="0" distB="0" distL="0" distR="0">
            <wp:extent cx="2840397" cy="170597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648" cy="1712127"/>
                    </a:xfrm>
                    <a:prstGeom prst="rect">
                      <a:avLst/>
                    </a:prstGeom>
                    <a:noFill/>
                    <a:ln>
                      <a:noFill/>
                    </a:ln>
                  </pic:spPr>
                </pic:pic>
              </a:graphicData>
            </a:graphic>
          </wp:inline>
        </w:drawing>
      </w:r>
      <w:r w:rsidR="006E192C" w:rsidRPr="006E192C">
        <w:rPr>
          <w:noProof/>
        </w:rPr>
        <w:drawing>
          <wp:inline distT="0" distB="0" distL="0" distR="0">
            <wp:extent cx="2859206" cy="17172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485" cy="1722241"/>
                    </a:xfrm>
                    <a:prstGeom prst="rect">
                      <a:avLst/>
                    </a:prstGeom>
                    <a:noFill/>
                    <a:ln>
                      <a:noFill/>
                    </a:ln>
                  </pic:spPr>
                </pic:pic>
              </a:graphicData>
            </a:graphic>
          </wp:inline>
        </w:drawing>
      </w:r>
    </w:p>
    <w:p w:rsidR="00042E15" w:rsidRDefault="007746B2" w:rsidP="00B116B5">
      <w:pPr>
        <w:spacing w:after="0"/>
      </w:pPr>
      <w:r w:rsidRPr="007746B2">
        <w:rPr>
          <w:noProof/>
        </w:rPr>
        <w:drawing>
          <wp:inline distT="0" distB="0" distL="0" distR="0" wp14:anchorId="7F0D4D78" wp14:editId="3C61DF38">
            <wp:extent cx="2847846" cy="171044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1081" cy="1718394"/>
                    </a:xfrm>
                    <a:prstGeom prst="rect">
                      <a:avLst/>
                    </a:prstGeom>
                    <a:noFill/>
                    <a:ln>
                      <a:noFill/>
                    </a:ln>
                  </pic:spPr>
                </pic:pic>
              </a:graphicData>
            </a:graphic>
          </wp:inline>
        </w:drawing>
      </w:r>
      <w:r w:rsidR="006E192C" w:rsidRPr="006E192C">
        <w:rPr>
          <w:noProof/>
        </w:rPr>
        <w:drawing>
          <wp:inline distT="0" distB="0" distL="0" distR="0" wp14:anchorId="21781C68" wp14:editId="17E69315">
            <wp:extent cx="2851756" cy="1712794"/>
            <wp:effectExtent l="0" t="0" r="635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274" cy="1719111"/>
                    </a:xfrm>
                    <a:prstGeom prst="rect">
                      <a:avLst/>
                    </a:prstGeom>
                    <a:noFill/>
                    <a:ln>
                      <a:noFill/>
                    </a:ln>
                  </pic:spPr>
                </pic:pic>
              </a:graphicData>
            </a:graphic>
          </wp:inline>
        </w:drawing>
      </w:r>
    </w:p>
    <w:p w:rsidR="0078149D" w:rsidRDefault="00FC42EA" w:rsidP="00B116B5">
      <w:pPr>
        <w:spacing w:after="0"/>
      </w:pPr>
      <w:r w:rsidRPr="00FC42EA">
        <w:rPr>
          <w:noProof/>
        </w:rPr>
        <w:drawing>
          <wp:inline distT="0" distB="0" distL="0" distR="0">
            <wp:extent cx="2845558" cy="1709071"/>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5725" cy="1709171"/>
                    </a:xfrm>
                    <a:prstGeom prst="rect">
                      <a:avLst/>
                    </a:prstGeom>
                    <a:noFill/>
                    <a:ln>
                      <a:noFill/>
                    </a:ln>
                  </pic:spPr>
                </pic:pic>
              </a:graphicData>
            </a:graphic>
          </wp:inline>
        </w:drawing>
      </w:r>
      <w:r w:rsidRPr="00FC42EA">
        <w:rPr>
          <w:noProof/>
        </w:rPr>
        <w:drawing>
          <wp:inline distT="0" distB="0" distL="0" distR="0">
            <wp:extent cx="2852383" cy="1713170"/>
            <wp:effectExtent l="0" t="0" r="5715"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735" cy="1716385"/>
                    </a:xfrm>
                    <a:prstGeom prst="rect">
                      <a:avLst/>
                    </a:prstGeom>
                    <a:noFill/>
                    <a:ln>
                      <a:noFill/>
                    </a:ln>
                  </pic:spPr>
                </pic:pic>
              </a:graphicData>
            </a:graphic>
          </wp:inline>
        </w:drawing>
      </w:r>
    </w:p>
    <w:p w:rsidR="006E192C" w:rsidRDefault="006E192C" w:rsidP="006E192C">
      <w:pPr>
        <w:spacing w:after="0"/>
        <w:rPr>
          <w:sz w:val="20"/>
          <w:szCs w:val="20"/>
          <w:lang w:eastAsia="en-US"/>
        </w:rPr>
      </w:pPr>
      <w:r w:rsidRPr="0095311B">
        <w:rPr>
          <w:sz w:val="20"/>
          <w:szCs w:val="20"/>
          <w:lang w:eastAsia="en-US"/>
        </w:rPr>
        <w:t xml:space="preserve">Voir </w:t>
      </w:r>
      <w:r>
        <w:rPr>
          <w:sz w:val="20"/>
          <w:szCs w:val="20"/>
          <w:lang w:eastAsia="en-US"/>
        </w:rPr>
        <w:t>l’</w:t>
      </w:r>
      <w:r w:rsidRPr="0095311B">
        <w:rPr>
          <w:sz w:val="20"/>
          <w:szCs w:val="20"/>
          <w:lang w:eastAsia="en-US"/>
        </w:rPr>
        <w:t>annexe pour le</w:t>
      </w:r>
      <w:r w:rsidR="0012622D">
        <w:rPr>
          <w:sz w:val="20"/>
          <w:szCs w:val="20"/>
          <w:lang w:eastAsia="en-US"/>
        </w:rPr>
        <w:t>s</w:t>
      </w:r>
      <w:r w:rsidRPr="0095311B">
        <w:rPr>
          <w:sz w:val="20"/>
          <w:szCs w:val="20"/>
          <w:lang w:eastAsia="en-US"/>
        </w:rPr>
        <w:t xml:space="preserve"> détail</w:t>
      </w:r>
      <w:r w:rsidR="0012622D">
        <w:rPr>
          <w:sz w:val="20"/>
          <w:szCs w:val="20"/>
          <w:lang w:eastAsia="en-US"/>
        </w:rPr>
        <w:t>s</w:t>
      </w:r>
      <w:r w:rsidRPr="0095311B">
        <w:rPr>
          <w:sz w:val="20"/>
          <w:szCs w:val="20"/>
          <w:lang w:eastAsia="en-US"/>
        </w:rPr>
        <w:t xml:space="preserve"> des secteurs</w:t>
      </w:r>
      <w:r>
        <w:rPr>
          <w:sz w:val="20"/>
          <w:szCs w:val="20"/>
          <w:lang w:eastAsia="en-US"/>
        </w:rPr>
        <w:t>.</w:t>
      </w:r>
    </w:p>
    <w:p w:rsidR="006E192C" w:rsidRDefault="006E192C" w:rsidP="006E192C">
      <w:pPr>
        <w:spacing w:after="0"/>
        <w:rPr>
          <w:sz w:val="20"/>
          <w:szCs w:val="20"/>
          <w:lang w:eastAsia="en-US"/>
        </w:rPr>
      </w:pPr>
      <w:r w:rsidRPr="00042E15">
        <w:rPr>
          <w:sz w:val="20"/>
          <w:szCs w:val="20"/>
          <w:lang w:eastAsia="en-US"/>
        </w:rPr>
        <w:t>Source</w:t>
      </w:r>
      <w:r>
        <w:rPr>
          <w:sz w:val="20"/>
          <w:szCs w:val="20"/>
          <w:lang w:eastAsia="en-US"/>
        </w:rPr>
        <w:t>s</w:t>
      </w:r>
      <w:r w:rsidRPr="00042E15">
        <w:rPr>
          <w:sz w:val="20"/>
          <w:szCs w:val="20"/>
          <w:lang w:eastAsia="en-US"/>
        </w:rPr>
        <w:t xml:space="preserve"> : </w:t>
      </w:r>
      <w:r>
        <w:rPr>
          <w:sz w:val="20"/>
          <w:szCs w:val="20"/>
          <w:lang w:eastAsia="en-US"/>
        </w:rPr>
        <w:tab/>
      </w:r>
      <w:r w:rsidRPr="00042E15">
        <w:rPr>
          <w:sz w:val="20"/>
          <w:szCs w:val="20"/>
          <w:lang w:eastAsia="en-US"/>
        </w:rPr>
        <w:t xml:space="preserve">Les </w:t>
      </w:r>
      <w:r>
        <w:rPr>
          <w:sz w:val="20"/>
          <w:szCs w:val="20"/>
          <w:lang w:eastAsia="en-US"/>
        </w:rPr>
        <w:t>indicateurs</w:t>
      </w:r>
      <w:r w:rsidRPr="00042E15">
        <w:rPr>
          <w:sz w:val="20"/>
          <w:szCs w:val="20"/>
          <w:lang w:eastAsia="en-US"/>
        </w:rPr>
        <w:t xml:space="preserve"> WIOD sont calculés à partir de</w:t>
      </w:r>
      <w:r w:rsidR="00A83D1D">
        <w:rPr>
          <w:sz w:val="20"/>
          <w:szCs w:val="20"/>
          <w:lang w:eastAsia="en-US"/>
        </w:rPr>
        <w:t xml:space="preserve">s tables </w:t>
      </w:r>
      <w:r w:rsidR="001606C9">
        <w:rPr>
          <w:sz w:val="20"/>
          <w:szCs w:val="20"/>
          <w:lang w:eastAsia="en-US"/>
        </w:rPr>
        <w:t>WIO</w:t>
      </w:r>
      <w:r w:rsidR="00A83D1D">
        <w:rPr>
          <w:sz w:val="20"/>
          <w:szCs w:val="20"/>
          <w:lang w:eastAsia="en-US"/>
        </w:rPr>
        <w:t>T</w:t>
      </w:r>
      <w:r w:rsidR="001606C9">
        <w:rPr>
          <w:sz w:val="20"/>
          <w:szCs w:val="20"/>
          <w:lang w:eastAsia="en-US"/>
        </w:rPr>
        <w:t xml:space="preserve"> (</w:t>
      </w:r>
      <w:r w:rsidR="002442D5">
        <w:rPr>
          <w:sz w:val="20"/>
          <w:szCs w:val="20"/>
          <w:lang w:eastAsia="en-US"/>
        </w:rPr>
        <w:t xml:space="preserve">pour les comparaisons dans </w:t>
      </w:r>
      <w:r w:rsidR="002442D5">
        <w:rPr>
          <w:sz w:val="20"/>
          <w:szCs w:val="20"/>
          <w:lang w:eastAsia="en-US"/>
        </w:rPr>
        <w:tab/>
      </w:r>
      <w:r w:rsidR="002442D5">
        <w:rPr>
          <w:sz w:val="20"/>
          <w:szCs w:val="20"/>
          <w:lang w:eastAsia="en-US"/>
        </w:rPr>
        <w:tab/>
        <w:t xml:space="preserve">cette section, le </w:t>
      </w:r>
      <w:r w:rsidR="00C60552">
        <w:rPr>
          <w:sz w:val="20"/>
          <w:szCs w:val="20"/>
          <w:lang w:eastAsia="en-US"/>
        </w:rPr>
        <w:t>commerce de services inclu</w:t>
      </w:r>
      <w:r w:rsidR="001606C9">
        <w:rPr>
          <w:sz w:val="20"/>
          <w:szCs w:val="20"/>
          <w:lang w:eastAsia="en-US"/>
        </w:rPr>
        <w:t>t l</w:t>
      </w:r>
      <w:r w:rsidR="002442D5">
        <w:rPr>
          <w:sz w:val="20"/>
          <w:szCs w:val="20"/>
          <w:lang w:eastAsia="en-US"/>
        </w:rPr>
        <w:t>a</w:t>
      </w:r>
      <w:r w:rsidR="001606C9">
        <w:rPr>
          <w:sz w:val="20"/>
          <w:szCs w:val="20"/>
          <w:lang w:eastAsia="en-US"/>
        </w:rPr>
        <w:t xml:space="preserve"> correction territoriale pour la consommation </w:t>
      </w:r>
      <w:r w:rsidR="002442D5">
        <w:rPr>
          <w:sz w:val="20"/>
          <w:szCs w:val="20"/>
          <w:lang w:eastAsia="en-US"/>
        </w:rPr>
        <w:tab/>
      </w:r>
      <w:r w:rsidR="002442D5">
        <w:rPr>
          <w:sz w:val="20"/>
          <w:szCs w:val="20"/>
          <w:lang w:eastAsia="en-US"/>
        </w:rPr>
        <w:tab/>
      </w:r>
      <w:r w:rsidR="001606C9">
        <w:rPr>
          <w:sz w:val="20"/>
          <w:szCs w:val="20"/>
          <w:lang w:eastAsia="en-US"/>
        </w:rPr>
        <w:t>des non-résidents en France – estimée à 49,5 milliards d’US$ en 2009).</w:t>
      </w:r>
    </w:p>
    <w:p w:rsidR="006E192C" w:rsidRDefault="006E192C" w:rsidP="006E192C">
      <w:pPr>
        <w:spacing w:after="0"/>
        <w:rPr>
          <w:sz w:val="20"/>
          <w:szCs w:val="20"/>
          <w:lang w:eastAsia="en-US"/>
        </w:rPr>
      </w:pPr>
      <w:r>
        <w:rPr>
          <w:sz w:val="20"/>
          <w:szCs w:val="20"/>
          <w:lang w:eastAsia="en-US"/>
        </w:rPr>
        <w:tab/>
      </w:r>
      <w:r w:rsidR="00CA646F">
        <w:rPr>
          <w:sz w:val="20"/>
          <w:szCs w:val="20"/>
          <w:lang w:eastAsia="en-US"/>
        </w:rPr>
        <w:tab/>
      </w:r>
      <w:r>
        <w:rPr>
          <w:sz w:val="20"/>
          <w:szCs w:val="20"/>
          <w:lang w:eastAsia="en-US"/>
        </w:rPr>
        <w:t>OCDE-OMC.</w:t>
      </w:r>
    </w:p>
    <w:p w:rsidR="006E192C" w:rsidRDefault="006E192C" w:rsidP="006E192C">
      <w:pPr>
        <w:spacing w:after="0"/>
        <w:rPr>
          <w:sz w:val="20"/>
          <w:szCs w:val="20"/>
          <w:lang w:eastAsia="en-US"/>
        </w:rPr>
      </w:pPr>
      <w:r>
        <w:rPr>
          <w:sz w:val="20"/>
          <w:szCs w:val="20"/>
          <w:lang w:eastAsia="en-US"/>
        </w:rPr>
        <w:tab/>
      </w:r>
      <w:r w:rsidR="00CA646F">
        <w:rPr>
          <w:sz w:val="20"/>
          <w:szCs w:val="20"/>
          <w:lang w:eastAsia="en-US"/>
        </w:rPr>
        <w:tab/>
      </w:r>
      <w:r w:rsidR="001606C9">
        <w:rPr>
          <w:sz w:val="20"/>
          <w:szCs w:val="20"/>
          <w:lang w:eastAsia="en-US"/>
        </w:rPr>
        <w:t xml:space="preserve">Banque de France (les données suivent la cinquième version du manuel </w:t>
      </w:r>
      <w:r w:rsidR="009E6CC6">
        <w:rPr>
          <w:sz w:val="20"/>
          <w:szCs w:val="20"/>
          <w:lang w:eastAsia="en-US"/>
        </w:rPr>
        <w:t>de</w:t>
      </w:r>
      <w:r w:rsidR="00C60552">
        <w:rPr>
          <w:sz w:val="20"/>
          <w:szCs w:val="20"/>
          <w:lang w:eastAsia="en-US"/>
        </w:rPr>
        <w:t xml:space="preserve"> la balance des </w:t>
      </w:r>
      <w:r w:rsidR="00C60552">
        <w:rPr>
          <w:sz w:val="20"/>
          <w:szCs w:val="20"/>
          <w:lang w:eastAsia="en-US"/>
        </w:rPr>
        <w:tab/>
      </w:r>
      <w:r w:rsidR="00C60552">
        <w:rPr>
          <w:sz w:val="20"/>
          <w:szCs w:val="20"/>
          <w:lang w:eastAsia="en-US"/>
        </w:rPr>
        <w:tab/>
        <w:t>paiements établit</w:t>
      </w:r>
      <w:r w:rsidR="009E6CC6">
        <w:rPr>
          <w:sz w:val="20"/>
          <w:szCs w:val="20"/>
          <w:lang w:eastAsia="en-US"/>
        </w:rPr>
        <w:t xml:space="preserve"> par le FMI </w:t>
      </w:r>
      <w:r w:rsidR="001606C9">
        <w:rPr>
          <w:sz w:val="20"/>
          <w:szCs w:val="20"/>
          <w:lang w:eastAsia="en-US"/>
        </w:rPr>
        <w:t xml:space="preserve">et les exportations de services </w:t>
      </w:r>
      <w:r w:rsidR="009E6CC6">
        <w:rPr>
          <w:sz w:val="20"/>
          <w:szCs w:val="20"/>
          <w:lang w:eastAsia="en-US"/>
        </w:rPr>
        <w:t>excluent</w:t>
      </w:r>
      <w:r w:rsidR="001606C9">
        <w:rPr>
          <w:sz w:val="20"/>
          <w:szCs w:val="20"/>
          <w:lang w:eastAsia="en-US"/>
        </w:rPr>
        <w:t xml:space="preserve"> le négoce </w:t>
      </w:r>
      <w:r w:rsidR="009E6CC6">
        <w:rPr>
          <w:sz w:val="20"/>
          <w:szCs w:val="20"/>
          <w:lang w:eastAsia="en-US"/>
        </w:rPr>
        <w:tab/>
      </w:r>
      <w:r w:rsidR="001606C9">
        <w:rPr>
          <w:sz w:val="20"/>
          <w:szCs w:val="20"/>
          <w:lang w:eastAsia="en-US"/>
        </w:rPr>
        <w:t>international).</w:t>
      </w:r>
    </w:p>
    <w:p w:rsidR="00DA18AC" w:rsidRDefault="00DA18AC" w:rsidP="001F3FA1">
      <w:pPr>
        <w:spacing w:line="276" w:lineRule="auto"/>
      </w:pPr>
    </w:p>
    <w:p w:rsidR="0056596C" w:rsidRDefault="001606C9" w:rsidP="00A02526">
      <w:pPr>
        <w:spacing w:line="276" w:lineRule="auto"/>
      </w:pPr>
      <w:r>
        <w:t xml:space="preserve">La comparaison graphique des exportations nominales (premier cadrant du graphique 1 ci-dessous) ne confirme cependant pas ces attentes. </w:t>
      </w:r>
      <w:r w:rsidR="0056596C">
        <w:t>Les données brutes publiées par WIOD et TiVA divergent et, en moyenne, les indicateurs issus de la première base sont 6%</w:t>
      </w:r>
      <w:r w:rsidR="00E723F7">
        <w:t xml:space="preserve"> supérieur</w:t>
      </w:r>
      <w:r w:rsidR="0056596C">
        <w:t>s à la deuxième. Par contre, l</w:t>
      </w:r>
      <w:r>
        <w:t xml:space="preserve">es </w:t>
      </w:r>
      <w:r w:rsidR="00E723F7">
        <w:t>données WIOD sont proches des</w:t>
      </w:r>
      <w:r>
        <w:t xml:space="preserve"> données de </w:t>
      </w:r>
      <w:r w:rsidR="0056596C">
        <w:t xml:space="preserve">la </w:t>
      </w:r>
      <w:r>
        <w:t>balance</w:t>
      </w:r>
      <w:r w:rsidR="0056596C">
        <w:t xml:space="preserve"> de paiements pendant presque toute la période analysée (entre 1995 et 2008, </w:t>
      </w:r>
      <w:r w:rsidR="00EE59C3">
        <w:t xml:space="preserve">l’écart entre </w:t>
      </w:r>
      <w:r w:rsidR="0056596C">
        <w:t xml:space="preserve">les indicateurs </w:t>
      </w:r>
      <w:r w:rsidR="00624484">
        <w:t>WIOD</w:t>
      </w:r>
      <w:r w:rsidR="0056596C">
        <w:t xml:space="preserve"> </w:t>
      </w:r>
      <w:r w:rsidR="00EE59C3">
        <w:t>et de la balance des paiements est de seulement</w:t>
      </w:r>
      <w:r w:rsidR="00624484">
        <w:t xml:space="preserve"> </w:t>
      </w:r>
      <w:r w:rsidR="0056596C">
        <w:t>1,2%)</w:t>
      </w:r>
      <w:r>
        <w:t xml:space="preserve">. Ce n’est qu’à partir de 2009 que la différence </w:t>
      </w:r>
      <w:r w:rsidR="0056596C">
        <w:t xml:space="preserve">entre les deux bases </w:t>
      </w:r>
      <w:r>
        <w:t xml:space="preserve">se creuse, avec une </w:t>
      </w:r>
      <w:r w:rsidR="0056596C">
        <w:t xml:space="preserve">forte </w:t>
      </w:r>
      <w:r>
        <w:t>hausse relative de</w:t>
      </w:r>
      <w:r w:rsidR="00624484">
        <w:t xml:space="preserve"> la</w:t>
      </w:r>
      <w:r>
        <w:t xml:space="preserve"> valeur</w:t>
      </w:r>
      <w:r w:rsidR="00624484">
        <w:t xml:space="preserve"> des indicateurs</w:t>
      </w:r>
      <w:r>
        <w:t xml:space="preserve"> </w:t>
      </w:r>
      <w:r w:rsidR="00E96D83">
        <w:t>de</w:t>
      </w:r>
      <w:r>
        <w:t xml:space="preserve"> la </w:t>
      </w:r>
      <w:r w:rsidR="0056596C">
        <w:t>Banque de France</w:t>
      </w:r>
      <w:r w:rsidR="00835D1A">
        <w:t xml:space="preserve"> </w:t>
      </w:r>
      <w:r w:rsidR="00F7721E">
        <w:t xml:space="preserve">(entre 2009 et 2011, les données WIOD sont </w:t>
      </w:r>
      <w:r>
        <w:t>7,2%</w:t>
      </w:r>
      <w:r w:rsidR="00F7721E">
        <w:t xml:space="preserve"> inférieures aux données de balance)</w:t>
      </w:r>
      <w:r>
        <w:t xml:space="preserve">. </w:t>
      </w:r>
      <w:r w:rsidR="00F7721E">
        <w:t>Mais les écarts les plus importants sont enregistrés</w:t>
      </w:r>
      <w:r w:rsidR="00D86AFE">
        <w:t xml:space="preserve"> entre </w:t>
      </w:r>
      <w:r w:rsidR="00BC061A">
        <w:t xml:space="preserve">la base </w:t>
      </w:r>
      <w:r w:rsidR="00D86AFE">
        <w:t>TiVA et la</w:t>
      </w:r>
      <w:r>
        <w:t xml:space="preserve"> balance</w:t>
      </w:r>
      <w:r w:rsidR="00D86AFE">
        <w:t xml:space="preserve"> des paiements</w:t>
      </w:r>
      <w:r>
        <w:t>. Les données de l’OCDE-OMC sont</w:t>
      </w:r>
      <w:r w:rsidR="00E96D83">
        <w:t>,</w:t>
      </w:r>
      <w:r>
        <w:t xml:space="preserve"> en moyenne</w:t>
      </w:r>
      <w:r w:rsidR="00E96D83">
        <w:t>,</w:t>
      </w:r>
      <w:r>
        <w:t xml:space="preserve"> 8% inférieures aux données de la Banque de France</w:t>
      </w:r>
      <w:r w:rsidR="00E96D83">
        <w:t>. Et, ainsi que pour</w:t>
      </w:r>
      <w:r>
        <w:t xml:space="preserve"> WIOD, l’écart enregistré sur les trois dernières années</w:t>
      </w:r>
      <w:r w:rsidR="001459F0">
        <w:t xml:space="preserve"> </w:t>
      </w:r>
      <w:r w:rsidR="00835D1A">
        <w:t xml:space="preserve">(-12,3%) </w:t>
      </w:r>
      <w:r>
        <w:t>est plus important q</w:t>
      </w:r>
      <w:r w:rsidR="00714D14">
        <w:t>u</w:t>
      </w:r>
      <w:r w:rsidR="00BC061A">
        <w:t xml:space="preserve">e celui </w:t>
      </w:r>
      <w:r>
        <w:t>en début de période (-4,8%).</w:t>
      </w:r>
    </w:p>
    <w:p w:rsidR="006D776D" w:rsidRDefault="006D776D" w:rsidP="00A02526">
      <w:pPr>
        <w:spacing w:line="276" w:lineRule="auto"/>
      </w:pPr>
      <w:r>
        <w:t xml:space="preserve">L’analyse des exportations totales </w:t>
      </w:r>
      <w:r w:rsidR="005A743F">
        <w:t xml:space="preserve">publiées par les trois bases </w:t>
      </w:r>
      <w:r>
        <w:t xml:space="preserve">cache des différences importantes entre les exportations de biens et services </w:t>
      </w:r>
      <w:r w:rsidR="001858DF">
        <w:t>(graphique</w:t>
      </w:r>
      <w:r w:rsidR="005A71F9">
        <w:t>s</w:t>
      </w:r>
      <w:r w:rsidR="001858DF">
        <w:t xml:space="preserve"> </w:t>
      </w:r>
      <w:r w:rsidR="005A71F9">
        <w:t>au milieu,</w:t>
      </w:r>
      <w:r w:rsidR="001858DF">
        <w:t xml:space="preserve"> gauche pour les biens et droit pour les services)</w:t>
      </w:r>
      <w:r>
        <w:t xml:space="preserve">. Les services sont </w:t>
      </w:r>
      <w:r w:rsidR="001858DF">
        <w:t>la principale source de divergence</w:t>
      </w:r>
      <w:r>
        <w:t xml:space="preserve"> entre les </w:t>
      </w:r>
      <w:r w:rsidR="00672F5B">
        <w:t>indicateurs</w:t>
      </w:r>
      <w:r>
        <w:t xml:space="preserve"> WIOD et </w:t>
      </w:r>
      <w:r w:rsidR="005A743F">
        <w:t>de</w:t>
      </w:r>
      <w:r>
        <w:t xml:space="preserve"> la Banque de France. </w:t>
      </w:r>
      <w:r w:rsidR="001858DF">
        <w:t>L</w:t>
      </w:r>
      <w:r>
        <w:t xml:space="preserve">es </w:t>
      </w:r>
      <w:r w:rsidR="00D2575F">
        <w:t xml:space="preserve">valeurs des </w:t>
      </w:r>
      <w:r>
        <w:t>exportation</w:t>
      </w:r>
      <w:r w:rsidR="00672F5B">
        <w:t>s</w:t>
      </w:r>
      <w:r>
        <w:t xml:space="preserve"> de biens </w:t>
      </w:r>
      <w:r w:rsidR="00D2575F">
        <w:t>publiées par l</w:t>
      </w:r>
      <w:r>
        <w:t xml:space="preserve">es deux bases sont </w:t>
      </w:r>
      <w:r w:rsidR="00D2575F">
        <w:t>semblables</w:t>
      </w:r>
      <w:r>
        <w:t xml:space="preserve">, avec un écart moyen </w:t>
      </w:r>
      <w:r w:rsidR="001858DF">
        <w:t xml:space="preserve">relativement </w:t>
      </w:r>
      <w:r w:rsidR="005A743F">
        <w:t xml:space="preserve">faible et </w:t>
      </w:r>
      <w:r w:rsidR="001858DF">
        <w:t xml:space="preserve">constant </w:t>
      </w:r>
      <w:r w:rsidR="005A743F">
        <w:t>de</w:t>
      </w:r>
      <w:r>
        <w:t xml:space="preserve"> 0,5%</w:t>
      </w:r>
      <w:r w:rsidR="001858DF">
        <w:t xml:space="preserve">. </w:t>
      </w:r>
      <w:r w:rsidR="009339BB">
        <w:t>Pour les services,</w:t>
      </w:r>
      <w:r w:rsidR="001A1465">
        <w:t xml:space="preserve"> l</w:t>
      </w:r>
      <w:r w:rsidR="001858DF">
        <w:t>’écart est bi</w:t>
      </w:r>
      <w:r w:rsidR="001A1465">
        <w:t>e</w:t>
      </w:r>
      <w:r w:rsidR="001858DF">
        <w:t>n supérieur</w:t>
      </w:r>
      <w:r w:rsidR="009339BB">
        <w:t> :</w:t>
      </w:r>
      <w:r w:rsidR="001858DF">
        <w:t xml:space="preserve"> </w:t>
      </w:r>
      <w:r w:rsidR="009339BB">
        <w:t>e</w:t>
      </w:r>
      <w:r w:rsidR="001858DF">
        <w:t>ntre 1995 et 2008</w:t>
      </w:r>
      <w:r w:rsidR="00672F5B">
        <w:t>,</w:t>
      </w:r>
      <w:r w:rsidR="00425B6D">
        <w:t xml:space="preserve"> WIOD publie</w:t>
      </w:r>
      <w:r w:rsidR="001858DF">
        <w:t xml:space="preserve"> des chiffres </w:t>
      </w:r>
      <w:r w:rsidR="00672F5B">
        <w:t>7% supérieur</w:t>
      </w:r>
      <w:r w:rsidR="001858DF">
        <w:t>s à la balance de paiements</w:t>
      </w:r>
      <w:r w:rsidR="004036EB">
        <w:t>, tandis qu’e</w:t>
      </w:r>
      <w:r w:rsidR="009339BB">
        <w:t>ntre 2009 et 2011</w:t>
      </w:r>
      <w:r w:rsidR="007E6E75">
        <w:t xml:space="preserve"> </w:t>
      </w:r>
      <w:r w:rsidR="009339BB">
        <w:t xml:space="preserve">les exportations de services </w:t>
      </w:r>
      <w:r w:rsidR="00425B6D">
        <w:t>issues des tables</w:t>
      </w:r>
      <w:r w:rsidR="009339BB">
        <w:t xml:space="preserve"> WIOD</w:t>
      </w:r>
      <w:r w:rsidR="00425B6D">
        <w:t xml:space="preserve"> sont</w:t>
      </w:r>
      <w:r w:rsidR="007E6E75">
        <w:t xml:space="preserve"> </w:t>
      </w:r>
      <w:r w:rsidR="001858DF">
        <w:t>24%</w:t>
      </w:r>
      <w:r w:rsidR="00D56506">
        <w:t xml:space="preserve"> </w:t>
      </w:r>
      <w:r w:rsidR="007E6E75">
        <w:t>inférieur</w:t>
      </w:r>
      <w:r w:rsidR="00425B6D">
        <w:t>e</w:t>
      </w:r>
      <w:r w:rsidR="007E6E75">
        <w:t xml:space="preserve">s aux données </w:t>
      </w:r>
      <w:r w:rsidR="00D56506">
        <w:t xml:space="preserve">de </w:t>
      </w:r>
      <w:r w:rsidR="009339BB">
        <w:t>balance</w:t>
      </w:r>
      <w:r w:rsidR="004036EB">
        <w:t xml:space="preserve">. </w:t>
      </w:r>
      <w:r w:rsidR="00F12EB9">
        <w:t xml:space="preserve">Les données TiVA divergent davantage </w:t>
      </w:r>
      <w:r w:rsidR="004036EB">
        <w:t xml:space="preserve">par rapport aux </w:t>
      </w:r>
      <w:r w:rsidR="005A71F9">
        <w:t xml:space="preserve">deux </w:t>
      </w:r>
      <w:r w:rsidR="00E723F7">
        <w:t xml:space="preserve">autres </w:t>
      </w:r>
      <w:r w:rsidR="004036EB">
        <w:t xml:space="preserve">bases, et cela </w:t>
      </w:r>
      <w:r w:rsidR="00296EA9">
        <w:t xml:space="preserve">aussi bien </w:t>
      </w:r>
      <w:r w:rsidR="004036EB">
        <w:t>pour</w:t>
      </w:r>
      <w:r w:rsidR="00F12EB9">
        <w:t xml:space="preserve"> les biens </w:t>
      </w:r>
      <w:r w:rsidR="00296EA9">
        <w:t xml:space="preserve">que </w:t>
      </w:r>
      <w:r w:rsidR="005A743F">
        <w:t>pour les</w:t>
      </w:r>
      <w:r w:rsidR="004036EB">
        <w:t xml:space="preserve"> </w:t>
      </w:r>
      <w:r w:rsidR="00F12EB9">
        <w:t xml:space="preserve">services. Les exportations de biens publiées par l’OCDE-OMC sont en moyenne 21% inférieures aux données WIOD et 22% inférieures à celles de balance. Pour les services, l’OCDE-OMC publient de données </w:t>
      </w:r>
      <w:r w:rsidR="00672F5B">
        <w:t>en moyenne 47% et 37% supérieures à WIOD et à la balance des paiements, respectivement.</w:t>
      </w:r>
    </w:p>
    <w:p w:rsidR="00296EA9" w:rsidRDefault="00296EA9" w:rsidP="00A02526">
      <w:pPr>
        <w:spacing w:line="276" w:lineRule="auto"/>
      </w:pPr>
      <w:r>
        <w:t xml:space="preserve">Le partage des exportations totales entre les secteurs marchands et </w:t>
      </w:r>
      <w:r w:rsidR="0012622D">
        <w:t xml:space="preserve">des services n’est ainsi pas </w:t>
      </w:r>
      <w:r w:rsidR="0078149D">
        <w:t xml:space="preserve">le même </w:t>
      </w:r>
      <w:r w:rsidR="00D409BF">
        <w:t>selon</w:t>
      </w:r>
      <w:r w:rsidR="0078149D">
        <w:t xml:space="preserve"> les bases</w:t>
      </w:r>
      <w:r w:rsidR="008E3724">
        <w:t xml:space="preserve"> (graphiques inférieurs)</w:t>
      </w:r>
      <w:r w:rsidR="0078149D">
        <w:t xml:space="preserve">. Entre 1995 et 2008, ce partage est </w:t>
      </w:r>
      <w:r w:rsidR="00B116B5">
        <w:t xml:space="preserve">resté </w:t>
      </w:r>
      <w:r w:rsidR="0078149D">
        <w:t xml:space="preserve">proche </w:t>
      </w:r>
      <w:r w:rsidR="00D409BF">
        <w:t>entre</w:t>
      </w:r>
      <w:r w:rsidR="0078149D">
        <w:t xml:space="preserve"> WIOD et la balance des paiements. </w:t>
      </w:r>
      <w:r w:rsidR="00D409BF">
        <w:t>Mais</w:t>
      </w:r>
      <w:r w:rsidR="005A743F">
        <w:t>,</w:t>
      </w:r>
      <w:r w:rsidR="00D409BF">
        <w:t xml:space="preserve"> </w:t>
      </w:r>
      <w:r w:rsidR="005A743F">
        <w:t xml:space="preserve">à partir de 2009, </w:t>
      </w:r>
      <w:r w:rsidR="00714362">
        <w:t xml:space="preserve">les données WIOD </w:t>
      </w:r>
      <w:r w:rsidR="00B116B5">
        <w:t>sous-estime</w:t>
      </w:r>
      <w:r w:rsidR="00714362">
        <w:t>nt</w:t>
      </w:r>
      <w:r w:rsidR="00B116B5">
        <w:t xml:space="preserve"> </w:t>
      </w:r>
      <w:r w:rsidR="00D409BF">
        <w:t>l</w:t>
      </w:r>
      <w:r w:rsidR="00B116B5">
        <w:t>e</w:t>
      </w:r>
      <w:r w:rsidR="00714362">
        <w:t xml:space="preserve"> poids des</w:t>
      </w:r>
      <w:r w:rsidR="00B116B5">
        <w:t xml:space="preserve"> services </w:t>
      </w:r>
      <w:r w:rsidR="005A743F">
        <w:t>comparativement</w:t>
      </w:r>
      <w:r w:rsidR="00B116B5">
        <w:t xml:space="preserve"> </w:t>
      </w:r>
      <w:r w:rsidR="00714362">
        <w:t>aux données de</w:t>
      </w:r>
      <w:r w:rsidR="00B116B5">
        <w:t xml:space="preserve"> la Banque de France. </w:t>
      </w:r>
      <w:r w:rsidR="005A743F">
        <w:t>Et l</w:t>
      </w:r>
      <w:r w:rsidR="0017459D">
        <w:t>es données publiées par TiVA surestiment l</w:t>
      </w:r>
      <w:r w:rsidR="00B116B5">
        <w:t xml:space="preserve">’importance des secteurs des services </w:t>
      </w:r>
      <w:r w:rsidR="00D409BF">
        <w:t>pendant toute la période</w:t>
      </w:r>
      <w:r w:rsidR="00D2575F">
        <w:t>,</w:t>
      </w:r>
      <w:r w:rsidR="00D409BF">
        <w:t xml:space="preserve"> et cela par rapport aux deux autres bases. </w:t>
      </w:r>
      <w:r w:rsidR="00E60103">
        <w:t>Cette particularité des données de l’OCDE-OMC vient d’un traitement spécial sur le secteur</w:t>
      </w:r>
      <w:r w:rsidR="005A71F9">
        <w:t xml:space="preserve"> agrégé</w:t>
      </w:r>
      <w:r w:rsidR="00E60103">
        <w:t xml:space="preserve"> </w:t>
      </w:r>
      <w:r w:rsidR="00322EDD">
        <w:t>« </w:t>
      </w:r>
      <w:r w:rsidR="005A71F9">
        <w:t>Commerce, réparation, hôtels et restaurants</w:t>
      </w:r>
      <w:r w:rsidR="00E60103">
        <w:t xml:space="preserve"> »</w:t>
      </w:r>
      <w:r w:rsidR="00D2575F">
        <w:t>,</w:t>
      </w:r>
      <w:r w:rsidR="00E60103">
        <w:t xml:space="preserve"> effectué lors de la construction des tables ICIO</w:t>
      </w:r>
      <w:r w:rsidR="00E60103">
        <w:rPr>
          <w:rStyle w:val="Appelnotedebasdep"/>
        </w:rPr>
        <w:footnoteReference w:id="24"/>
      </w:r>
      <w:r w:rsidR="00E60103">
        <w:t>.</w:t>
      </w:r>
    </w:p>
    <w:p w:rsidR="008E3724" w:rsidRDefault="0017459D" w:rsidP="00A02526">
      <w:pPr>
        <w:spacing w:line="276" w:lineRule="auto"/>
      </w:pPr>
      <w:r>
        <w:t xml:space="preserve">Malgré ces différences dans la distribution sectorielle et dans la valeur nominale des flux </w:t>
      </w:r>
      <w:r w:rsidR="008E3724">
        <w:t>commerciaux</w:t>
      </w:r>
      <w:r>
        <w:t>, l’évolution des données d’exportation</w:t>
      </w:r>
      <w:r w:rsidR="00F46095">
        <w:t>s</w:t>
      </w:r>
      <w:r>
        <w:t xml:space="preserve"> totale</w:t>
      </w:r>
      <w:r w:rsidR="00F46095">
        <w:t>s</w:t>
      </w:r>
      <w:r>
        <w:t xml:space="preserve"> de la France est </w:t>
      </w:r>
      <w:r w:rsidR="00F46095">
        <w:t>semblable</w:t>
      </w:r>
      <w:r>
        <w:t xml:space="preserve"> </w:t>
      </w:r>
      <w:r w:rsidR="008E3724">
        <w:t xml:space="preserve">entre les trois bases (graphique supérieur droit). Par rapport à la première observation de 1995, les niveaux des </w:t>
      </w:r>
      <w:r w:rsidR="00144D73">
        <w:t>indicateurs</w:t>
      </w:r>
      <w:r w:rsidR="008E3724">
        <w:t xml:space="preserve"> en provenance des trois bases </w:t>
      </w:r>
      <w:r w:rsidR="00144D73">
        <w:t>sont</w:t>
      </w:r>
      <w:r w:rsidR="008E3724">
        <w:t xml:space="preserve"> très proches jusqu’à 2008. Le décalage parvient à partir de 2009 et entre les données des bases en valeur ajoutée, d’un côté, et celles de balance, d’un autre. Les tendances restent néanmoins </w:t>
      </w:r>
      <w:r w:rsidR="00144D73">
        <w:t>convergentes</w:t>
      </w:r>
      <w:r w:rsidR="008E3724">
        <w:t>.</w:t>
      </w:r>
    </w:p>
    <w:p w:rsidR="00042E15" w:rsidRDefault="00042E15" w:rsidP="001F3FA1">
      <w:pPr>
        <w:spacing w:line="276" w:lineRule="auto"/>
      </w:pPr>
    </w:p>
    <w:p w:rsidR="00A50A40" w:rsidRDefault="00A50A40" w:rsidP="001F3FA1">
      <w:pPr>
        <w:spacing w:line="276" w:lineRule="auto"/>
      </w:pPr>
    </w:p>
    <w:p w:rsidR="00A50A40" w:rsidRDefault="00A50A40" w:rsidP="00A50A40">
      <w:pPr>
        <w:pStyle w:val="Paragraphedeliste"/>
        <w:numPr>
          <w:ilvl w:val="0"/>
          <w:numId w:val="1"/>
        </w:numPr>
        <w:spacing w:line="276" w:lineRule="auto"/>
        <w:rPr>
          <w:b/>
          <w:u w:val="single"/>
        </w:rPr>
      </w:pPr>
      <w:r w:rsidRPr="00A50A40">
        <w:rPr>
          <w:b/>
          <w:u w:val="single"/>
        </w:rPr>
        <w:t>Conclusions</w:t>
      </w:r>
    </w:p>
    <w:p w:rsidR="003E1CA7" w:rsidRPr="003E1CA7" w:rsidRDefault="003E1CA7" w:rsidP="00985DA1">
      <w:pPr>
        <w:spacing w:line="276" w:lineRule="auto"/>
      </w:pPr>
      <w:r>
        <w:t xml:space="preserve">La note présente les deux principales bases </w:t>
      </w:r>
      <w:r w:rsidR="006134E5">
        <w:t xml:space="preserve">de données </w:t>
      </w:r>
      <w:r>
        <w:t>utilisées actuellement dans la mesure des flux commerciaux en valeur ajoutée et dans l’étude des chaînes de valeur mondiales. Ces bases sont l</w:t>
      </w:r>
      <w:r w:rsidRPr="003E1CA7">
        <w:t xml:space="preserve">a base WIOD (Word Input-Output Database) </w:t>
      </w:r>
      <w:r>
        <w:t>et</w:t>
      </w:r>
      <w:r w:rsidRPr="003E1CA7">
        <w:t xml:space="preserve"> TiVA (Trade in Value Added</w:t>
      </w:r>
      <w:r>
        <w:t xml:space="preserve">). </w:t>
      </w:r>
    </w:p>
    <w:p w:rsidR="003B0A3E" w:rsidRDefault="003E1CA7" w:rsidP="00985DA1">
      <w:pPr>
        <w:spacing w:line="276" w:lineRule="auto"/>
      </w:pPr>
      <w:r>
        <w:t>Les deux bases se différencient su</w:t>
      </w:r>
      <w:r w:rsidR="006134E5">
        <w:t>r plusieurs points. D’abord, le type d’</w:t>
      </w:r>
      <w:r w:rsidR="00E01EB5">
        <w:t>indicateur</w:t>
      </w:r>
      <w:r w:rsidR="006134E5">
        <w:t xml:space="preserve"> publié</w:t>
      </w:r>
      <w:r w:rsidR="00E01EB5">
        <w:t xml:space="preserve"> n’est</w:t>
      </w:r>
      <w:r>
        <w:t xml:space="preserve"> pas le</w:t>
      </w:r>
      <w:r w:rsidR="00E01EB5">
        <w:t xml:space="preserve"> même</w:t>
      </w:r>
      <w:r>
        <w:t>. WIOD</w:t>
      </w:r>
      <w:r w:rsidRPr="003E1CA7">
        <w:t xml:space="preserve"> publie des tableaux d’entrées-sorties internationaux (TESI) à partir desquels toutes sortes d’indicateurs de </w:t>
      </w:r>
      <w:r>
        <w:t xml:space="preserve">commerce peuvent être calculés, tandis que </w:t>
      </w:r>
      <w:r w:rsidRPr="003E1CA7">
        <w:t>TiVA publie directement 41 indicateurs</w:t>
      </w:r>
      <w:r w:rsidR="006134E5">
        <w:t xml:space="preserve"> déjà calculés et prêts à l’emploi</w:t>
      </w:r>
      <w:r>
        <w:t>. La couverture n’est également pas la même</w:t>
      </w:r>
      <w:r w:rsidR="003B0A3E">
        <w:t xml:space="preserve"> entre les deux bases</w:t>
      </w:r>
      <w:r>
        <w:t>. La première base</w:t>
      </w:r>
      <w:r w:rsidRPr="003E1CA7">
        <w:t xml:space="preserve"> </w:t>
      </w:r>
      <w:r>
        <w:t>est disponible</w:t>
      </w:r>
      <w:r w:rsidR="006134E5">
        <w:t xml:space="preserve"> sur 40 pays,</w:t>
      </w:r>
      <w:r w:rsidRPr="003E1CA7">
        <w:t xml:space="preserve"> 35 secteurs économiques</w:t>
      </w:r>
      <w:r w:rsidR="006134E5">
        <w:t xml:space="preserve"> et les 17 années</w:t>
      </w:r>
      <w:r w:rsidRPr="003E1CA7">
        <w:t xml:space="preserve"> entre 1995 et 2011. </w:t>
      </w:r>
      <w:r>
        <w:t>La deuxième base publie des indicateurs</w:t>
      </w:r>
      <w:r w:rsidRPr="003E1CA7">
        <w:t xml:space="preserve"> sur 61 pays et 34 secteurs pour les années 1995, 2000, 2005, 2008, 2009, 2010 et 2011.</w:t>
      </w:r>
      <w:r>
        <w:t xml:space="preserve"> Les secteurs sont </w:t>
      </w:r>
      <w:r w:rsidR="006134E5">
        <w:t>déterminés selon la</w:t>
      </w:r>
      <w:r>
        <w:t xml:space="preserve"> classification CITI Rév. 3 dans les deux bases, mais les niveaux de désagrégation ne sont pas exactement les mêmes.</w:t>
      </w:r>
      <w:r w:rsidR="003B0A3E">
        <w:t xml:space="preserve"> </w:t>
      </w:r>
      <w:r w:rsidR="00E01EB5">
        <w:t xml:space="preserve">Le mode 2 du commerce de service (consommation des non-résidents) n’est comptabilisé bilatéralement que dans la base TiVA. </w:t>
      </w:r>
      <w:r w:rsidR="003B0A3E">
        <w:t xml:space="preserve">D’ailleurs, une autre différence importante concerne la documentation détaillant la méthodologie de construction des </w:t>
      </w:r>
      <w:r w:rsidR="006134E5">
        <w:t xml:space="preserve">deux </w:t>
      </w:r>
      <w:r w:rsidR="003B0A3E">
        <w:t>bases. L</w:t>
      </w:r>
      <w:r w:rsidR="003B0A3E" w:rsidRPr="003E1CA7">
        <w:t>e projet WIOD</w:t>
      </w:r>
      <w:r w:rsidR="003B0A3E">
        <w:t xml:space="preserve"> publie une documentation </w:t>
      </w:r>
      <w:r w:rsidR="006134E5">
        <w:t>complète,</w:t>
      </w:r>
      <w:r w:rsidR="003B0A3E">
        <w:t xml:space="preserve"> aus</w:t>
      </w:r>
      <w:r w:rsidR="006134E5">
        <w:t xml:space="preserve">si bien </w:t>
      </w:r>
      <w:r w:rsidR="00E01EB5">
        <w:t>sur</w:t>
      </w:r>
      <w:r w:rsidR="006134E5">
        <w:t xml:space="preserve"> la construction de</w:t>
      </w:r>
      <w:r w:rsidR="003B0A3E">
        <w:t xml:space="preserve">s tables </w:t>
      </w:r>
      <w:r w:rsidR="006134E5">
        <w:t xml:space="preserve">internationales </w:t>
      </w:r>
      <w:r w:rsidR="003B0A3E">
        <w:t xml:space="preserve">que </w:t>
      </w:r>
      <w:r w:rsidR="00E01EB5">
        <w:t>sur</w:t>
      </w:r>
      <w:r w:rsidR="003B0A3E">
        <w:t xml:space="preserve"> le calcul de</w:t>
      </w:r>
      <w:r w:rsidR="006134E5">
        <w:t xml:space="preserve"> certains</w:t>
      </w:r>
      <w:r w:rsidR="003B0A3E">
        <w:t xml:space="preserve"> indicateurs</w:t>
      </w:r>
      <w:r w:rsidR="003B0A3E" w:rsidRPr="003E1CA7">
        <w:t xml:space="preserve">. Par contre, TiVA souffre encore d’un manque de transparence et la documentation mise à disposition </w:t>
      </w:r>
      <w:r w:rsidR="003B0A3E">
        <w:t>r</w:t>
      </w:r>
      <w:r w:rsidR="003B0A3E" w:rsidRPr="003E1CA7">
        <w:t>est</w:t>
      </w:r>
      <w:r w:rsidR="003B0A3E">
        <w:t>e peu détaillée</w:t>
      </w:r>
      <w:r w:rsidR="003B0A3E" w:rsidRPr="003E1CA7">
        <w:t>.</w:t>
      </w:r>
    </w:p>
    <w:p w:rsidR="00EA016D" w:rsidRPr="003E1CA7" w:rsidRDefault="00EA016D" w:rsidP="00985DA1">
      <w:pPr>
        <w:spacing w:line="276" w:lineRule="auto"/>
      </w:pPr>
      <w:r w:rsidRPr="003E1CA7">
        <w:t>La comparaison des données françaises brutes publiées par WIOD, TiVA et par la balance des paiements montre des différences dans la distribution sectorielle et dans la valeur nominale des flux commerciaux. L’évolution des indicateurs reste néanmoins semblable entre les trois bases jusqu’à 2008. À partir de cette année, un décalage s’établit entre les deux nouvelles bases, d’un côté, et les données de balance, d’un autre. Les tendances restent néanmoins convergentes.</w:t>
      </w:r>
    </w:p>
    <w:p w:rsidR="003E1CA7" w:rsidRDefault="003B0A3E" w:rsidP="00985DA1">
      <w:pPr>
        <w:spacing w:line="276" w:lineRule="auto"/>
      </w:pPr>
      <w:r>
        <w:t>Le choix entre les bases dépend ainsi de l’utilisation souhaitée. L’OCDE-</w:t>
      </w:r>
      <w:r w:rsidR="00EA016D">
        <w:t xml:space="preserve">OMC </w:t>
      </w:r>
      <w:r w:rsidR="000843BD">
        <w:t>fournit</w:t>
      </w:r>
      <w:r w:rsidR="00EA016D">
        <w:t xml:space="preserve"> des données </w:t>
      </w:r>
      <w:r w:rsidR="000843BD">
        <w:t>prêtes</w:t>
      </w:r>
      <w:r w:rsidR="00EA016D">
        <w:t xml:space="preserve"> à être employées</w:t>
      </w:r>
      <w:r>
        <w:t>. Les données WIOD nécessitent</w:t>
      </w:r>
      <w:r w:rsidR="00EA016D">
        <w:t>,</w:t>
      </w:r>
      <w:r>
        <w:t xml:space="preserve"> </w:t>
      </w:r>
      <w:r w:rsidR="00EA016D">
        <w:t>quant</w:t>
      </w:r>
      <w:r>
        <w:t xml:space="preserve"> à eux</w:t>
      </w:r>
      <w:r w:rsidR="00EA016D">
        <w:t>,</w:t>
      </w:r>
      <w:r>
        <w:t xml:space="preserve"> d’un investissement </w:t>
      </w:r>
      <w:r w:rsidR="00EA016D">
        <w:t>pour l</w:t>
      </w:r>
      <w:r>
        <w:t>’extraction</w:t>
      </w:r>
      <w:r w:rsidR="00EA016D">
        <w:t xml:space="preserve"> des indicateurs</w:t>
      </w:r>
      <w:r>
        <w:t>, qui peut s’avérer important. Cependant l’éventail d’indicateurs qui peuvent être calculés n’est pas borné. L’analyse temporelle peut également contraindre le choix de la base</w:t>
      </w:r>
      <w:r w:rsidR="00EA016D">
        <w:t> :</w:t>
      </w:r>
      <w:r>
        <w:t xml:space="preserve"> </w:t>
      </w:r>
      <w:r w:rsidR="00EA016D">
        <w:t>s</w:t>
      </w:r>
      <w:r>
        <w:t xml:space="preserve">eule WIOD met à disposition des données sans coupure dans </w:t>
      </w:r>
      <w:r w:rsidR="00E01EB5">
        <w:t>la couverture d</w:t>
      </w:r>
      <w:r>
        <w:t xml:space="preserve">es années. Des </w:t>
      </w:r>
      <w:r w:rsidR="000843BD">
        <w:t>travaux</w:t>
      </w:r>
      <w:r>
        <w:t xml:space="preserve"> sur des secteurs </w:t>
      </w:r>
      <w:r w:rsidR="00EA016D">
        <w:t xml:space="preserve">ou des pays </w:t>
      </w:r>
      <w:r>
        <w:t xml:space="preserve">précis peuvent également </w:t>
      </w:r>
      <w:r w:rsidR="00DA09DD">
        <w:t>demander l’utilisation d’une base plutôt que l’autre</w:t>
      </w:r>
      <w:r w:rsidR="000843BD">
        <w:t>, selon les différentes couvertures</w:t>
      </w:r>
      <w:r w:rsidR="00DA09DD">
        <w:t>.</w:t>
      </w:r>
      <w:r w:rsidR="00EA016D">
        <w:t xml:space="preserve"> Finalement, la contrainte d</w:t>
      </w:r>
      <w:r w:rsidR="00E01EB5">
        <w:t>’</w:t>
      </w:r>
      <w:r w:rsidR="00EA016D">
        <w:t xml:space="preserve">informations disponibles sur </w:t>
      </w:r>
      <w:r w:rsidR="000843BD">
        <w:t xml:space="preserve">les </w:t>
      </w:r>
      <w:r w:rsidR="00EA016D">
        <w:t>détails méthodologiques des données peut présenter une barrière à certaines études.</w:t>
      </w:r>
    </w:p>
    <w:p w:rsidR="00683872" w:rsidRPr="001F3FA1" w:rsidRDefault="00683872" w:rsidP="001F3FA1">
      <w:pPr>
        <w:spacing w:line="276" w:lineRule="auto"/>
      </w:pPr>
      <w:r w:rsidRPr="001F3FA1">
        <w:br w:type="page"/>
      </w:r>
    </w:p>
    <w:p w:rsidR="00DD5CC7" w:rsidRPr="00042E15" w:rsidRDefault="00683872">
      <w:pPr>
        <w:rPr>
          <w:b/>
          <w:u w:val="single"/>
        </w:rPr>
      </w:pPr>
      <w:r w:rsidRPr="00042E15">
        <w:rPr>
          <w:b/>
          <w:u w:val="single"/>
        </w:rPr>
        <w:t>Références</w:t>
      </w:r>
      <w:r w:rsidR="00E63D7D" w:rsidRPr="00042E15">
        <w:rPr>
          <w:b/>
          <w:u w:val="single"/>
        </w:rPr>
        <w:t> :</w:t>
      </w:r>
    </w:p>
    <w:p w:rsidR="001475C6" w:rsidRDefault="001475C6" w:rsidP="003E1CA7">
      <w:pPr>
        <w:jc w:val="left"/>
        <w:rPr>
          <w:rFonts w:eastAsiaTheme="minorEastAsia"/>
        </w:rPr>
      </w:pPr>
      <w:r>
        <w:rPr>
          <w:rFonts w:eastAsiaTheme="minorEastAsia"/>
        </w:rPr>
        <w:t>INSEE. (2014). Notes méthodologiques de la base 2010 : Les comptes nationaux passent en base 2010. (</w:t>
      </w:r>
      <w:r w:rsidRPr="001475C6">
        <w:rPr>
          <w:rFonts w:eastAsiaTheme="minorEastAsia"/>
        </w:rPr>
        <w:t>http:/</w:t>
      </w:r>
      <w:r>
        <w:rPr>
          <w:rFonts w:eastAsiaTheme="minorEastAsia"/>
        </w:rPr>
        <w:t>/www.insee.fr/fr/themes/comptes-</w:t>
      </w:r>
      <w:r w:rsidRPr="001475C6">
        <w:rPr>
          <w:rFonts w:eastAsiaTheme="minorEastAsia"/>
        </w:rPr>
        <w:t>nationaux/default.asp?page=base_2010/methodologie/methodo-b2010.htm</w:t>
      </w:r>
      <w:r>
        <w:rPr>
          <w:rFonts w:eastAsiaTheme="minorEastAsia"/>
        </w:rPr>
        <w:t>)</w:t>
      </w:r>
    </w:p>
    <w:p w:rsidR="00DD5CC7" w:rsidRDefault="00DD5CC7" w:rsidP="003E1CA7">
      <w:pPr>
        <w:jc w:val="left"/>
        <w:rPr>
          <w:rFonts w:eastAsiaTheme="minorEastAsia"/>
          <w:lang w:val="en-US"/>
        </w:rPr>
      </w:pPr>
      <w:r w:rsidRPr="001475C6">
        <w:rPr>
          <w:rFonts w:eastAsiaTheme="minorEastAsia"/>
          <w:lang w:val="en-US"/>
        </w:rPr>
        <w:t xml:space="preserve">Koopman, R., Zhi Wang &amp; Shang-Jin Wei. </w:t>
      </w:r>
      <w:r>
        <w:rPr>
          <w:rFonts w:eastAsiaTheme="minorEastAsia"/>
          <w:lang w:val="en-US"/>
        </w:rPr>
        <w:t>(</w:t>
      </w:r>
      <w:r w:rsidRPr="00DD5CC7">
        <w:rPr>
          <w:rFonts w:eastAsiaTheme="minorEastAsia"/>
          <w:lang w:val="en-US"/>
        </w:rPr>
        <w:t>2014</w:t>
      </w:r>
      <w:r>
        <w:rPr>
          <w:rFonts w:eastAsiaTheme="minorEastAsia"/>
          <w:lang w:val="en-US"/>
        </w:rPr>
        <w:t>)</w:t>
      </w:r>
      <w:r w:rsidRPr="00DD5CC7">
        <w:rPr>
          <w:rFonts w:eastAsiaTheme="minorEastAsia"/>
          <w:lang w:val="en-US"/>
        </w:rPr>
        <w:t xml:space="preserve">. Tracing Value-Added and Double Counting in Gross Exports. </w:t>
      </w:r>
      <w:r w:rsidRPr="00DD5CC7">
        <w:rPr>
          <w:rFonts w:eastAsiaTheme="minorEastAsia"/>
          <w:i/>
          <w:lang w:val="en-US"/>
        </w:rPr>
        <w:t>American Economic Review</w:t>
      </w:r>
      <w:r w:rsidRPr="00DD5CC7">
        <w:rPr>
          <w:rFonts w:eastAsiaTheme="minorEastAsia"/>
          <w:lang w:val="en-US"/>
        </w:rPr>
        <w:t>, 104(2): 459-94.</w:t>
      </w:r>
    </w:p>
    <w:p w:rsidR="00BB1939" w:rsidRDefault="00BB1939" w:rsidP="003E1CA7">
      <w:pPr>
        <w:jc w:val="left"/>
        <w:rPr>
          <w:rFonts w:eastAsiaTheme="minorEastAsia"/>
          <w:lang w:val="en-US"/>
        </w:rPr>
      </w:pPr>
      <w:r w:rsidRPr="00DD5CC7">
        <w:rPr>
          <w:rFonts w:eastAsiaTheme="minorEastAsia"/>
          <w:lang w:val="en-US"/>
        </w:rPr>
        <w:t>Rueda-Cantuche, J.M. &amp; Ten Raa, T. (2009) The Choice of Model in the Construction of Industry Coefficients Mat</w:t>
      </w:r>
      <w:r w:rsidRPr="002A7989">
        <w:rPr>
          <w:rFonts w:eastAsiaTheme="minorEastAsia"/>
          <w:lang w:val="en-US"/>
        </w:rPr>
        <w:t xml:space="preserve">rices. </w:t>
      </w:r>
      <w:r w:rsidRPr="002A7989">
        <w:rPr>
          <w:rFonts w:eastAsiaTheme="minorEastAsia"/>
          <w:i/>
          <w:lang w:val="en-US"/>
        </w:rPr>
        <w:t>Economic Systems Research</w:t>
      </w:r>
      <w:r w:rsidRPr="002A7989">
        <w:rPr>
          <w:rFonts w:eastAsiaTheme="minorEastAsia"/>
          <w:lang w:val="en-US"/>
        </w:rPr>
        <w:t>, 21, 363–376.</w:t>
      </w:r>
    </w:p>
    <w:p w:rsidR="00683872" w:rsidRDefault="00683872" w:rsidP="003E1CA7">
      <w:pPr>
        <w:jc w:val="left"/>
        <w:rPr>
          <w:rFonts w:eastAsiaTheme="minorEastAsia"/>
          <w:lang w:val="en-US"/>
        </w:rPr>
      </w:pPr>
      <w:r w:rsidRPr="005339F1">
        <w:rPr>
          <w:rFonts w:eastAsiaTheme="minorEastAsia"/>
          <w:lang w:val="en-US"/>
        </w:rPr>
        <w:t>Stehrer, R</w:t>
      </w:r>
      <w:r>
        <w:rPr>
          <w:rFonts w:eastAsiaTheme="minorEastAsia"/>
          <w:lang w:val="en-US"/>
        </w:rPr>
        <w:t>. (2013).</w:t>
      </w:r>
      <w:r w:rsidRPr="005339F1">
        <w:rPr>
          <w:rFonts w:eastAsiaTheme="minorEastAsia"/>
          <w:lang w:val="en-US"/>
        </w:rPr>
        <w:t xml:space="preserve"> </w:t>
      </w:r>
      <w:r w:rsidRPr="00A64E75">
        <w:rPr>
          <w:rFonts w:eastAsiaTheme="minorEastAsia"/>
          <w:lang w:val="en-US"/>
        </w:rPr>
        <w:t>Accounting relations in bilateral value added trade</w:t>
      </w:r>
      <w:r>
        <w:rPr>
          <w:rFonts w:eastAsiaTheme="minorEastAsia"/>
          <w:lang w:val="en-US"/>
        </w:rPr>
        <w:t>. WIOD Working Paper Number 14.</w:t>
      </w:r>
    </w:p>
    <w:p w:rsidR="00CB2C15" w:rsidRDefault="00CB2C15" w:rsidP="003E1CA7">
      <w:pPr>
        <w:jc w:val="left"/>
        <w:rPr>
          <w:rFonts w:eastAsiaTheme="minorEastAsia"/>
          <w:lang w:val="en-US"/>
        </w:rPr>
      </w:pPr>
      <w:r>
        <w:rPr>
          <w:lang w:val="en-US"/>
        </w:rPr>
        <w:t xml:space="preserve">Timmer, M. (2012). The world input-output database (WIOD): Contents, sources and methods. </w:t>
      </w:r>
      <w:r>
        <w:rPr>
          <w:rFonts w:eastAsiaTheme="minorEastAsia"/>
          <w:lang w:val="en-US"/>
        </w:rPr>
        <w:t>WIOD Working Paper Number 10.</w:t>
      </w:r>
    </w:p>
    <w:p w:rsidR="00683BEC" w:rsidRDefault="00683BEC" w:rsidP="003E1CA7">
      <w:pPr>
        <w:jc w:val="left"/>
        <w:rPr>
          <w:rFonts w:eastAsiaTheme="minorEastAsia"/>
          <w:lang w:val="en-US"/>
        </w:rPr>
      </w:pPr>
      <w:r w:rsidRPr="003E3964">
        <w:rPr>
          <w:rFonts w:eastAsiaTheme="minorEastAsia"/>
          <w:lang w:val="en-US"/>
        </w:rPr>
        <w:t xml:space="preserve">Timmer, M. P., Dietzenbacher, E., Los, B., Stehrer, R. &amp; de Vries, G. J. (2015). </w:t>
      </w:r>
      <w:r w:rsidRPr="00FA7FF9">
        <w:rPr>
          <w:rFonts w:eastAsiaTheme="minorEastAsia"/>
          <w:lang w:val="en-US"/>
        </w:rPr>
        <w:t>An Illustrated User Guide to the World Input–Output Database: the Case o</w:t>
      </w:r>
      <w:r>
        <w:rPr>
          <w:rFonts w:eastAsiaTheme="minorEastAsia"/>
          <w:lang w:val="en-US"/>
        </w:rPr>
        <w:t xml:space="preserve">f Global Automotive Production. </w:t>
      </w:r>
      <w:r w:rsidRPr="00FA7FF9">
        <w:rPr>
          <w:rFonts w:eastAsiaTheme="minorEastAsia"/>
          <w:i/>
          <w:lang w:val="en-US"/>
        </w:rPr>
        <w:t>Review of International Economics</w:t>
      </w:r>
      <w:r>
        <w:rPr>
          <w:rFonts w:eastAsiaTheme="minorEastAsia"/>
          <w:lang w:val="en-US"/>
        </w:rPr>
        <w:t>, 23,</w:t>
      </w:r>
      <w:r w:rsidRPr="00FA7FF9">
        <w:rPr>
          <w:rFonts w:eastAsiaTheme="minorEastAsia"/>
          <w:lang w:val="en-US"/>
        </w:rPr>
        <w:t xml:space="preserve"> 575–605</w:t>
      </w:r>
    </w:p>
    <w:p w:rsidR="00112ACA" w:rsidRDefault="00550E6A" w:rsidP="003E1CA7">
      <w:pPr>
        <w:jc w:val="left"/>
        <w:rPr>
          <w:rFonts w:eastAsiaTheme="minorEastAsia"/>
          <w:lang w:val="en-US"/>
        </w:rPr>
      </w:pPr>
      <w:r>
        <w:rPr>
          <w:rFonts w:eastAsiaTheme="minorEastAsia"/>
          <w:lang w:val="en-US"/>
        </w:rPr>
        <w:t>Y</w:t>
      </w:r>
      <w:r w:rsidR="00112ACA">
        <w:rPr>
          <w:rFonts w:eastAsiaTheme="minorEastAsia"/>
          <w:lang w:val="en-US"/>
        </w:rPr>
        <w:t xml:space="preserve">amano, N. &amp; Ahmad, N. (2006). The OECD input-output database: 2006 edition. </w:t>
      </w:r>
      <w:r>
        <w:rPr>
          <w:rFonts w:eastAsiaTheme="minorEastAsia"/>
          <w:lang w:val="en-US"/>
        </w:rPr>
        <w:t>DSTI Working paper 2006/8.</w:t>
      </w:r>
    </w:p>
    <w:p w:rsidR="00E63D7D" w:rsidRPr="003E1CA7" w:rsidRDefault="00550E6A" w:rsidP="003E1CA7">
      <w:pPr>
        <w:jc w:val="left"/>
        <w:rPr>
          <w:rFonts w:eastAsiaTheme="minorEastAsia"/>
          <w:lang w:val="en-US"/>
        </w:rPr>
      </w:pPr>
      <w:r w:rsidRPr="00550E6A">
        <w:rPr>
          <w:rFonts w:eastAsiaTheme="minorEastAsia"/>
          <w:lang w:val="en-US"/>
        </w:rPr>
        <w:t xml:space="preserve">Wixted, B., </w:t>
      </w:r>
      <w:r>
        <w:rPr>
          <w:rFonts w:eastAsiaTheme="minorEastAsia"/>
          <w:lang w:val="en-US"/>
        </w:rPr>
        <w:t>Yamano, N. &amp; Webb, C. (2006). Input-output analysis in an increasingly globalized world: applications of OECD harmonized international tables. DSTI Working paper 2006/7.</w:t>
      </w:r>
    </w:p>
    <w:p w:rsidR="00E63D7D" w:rsidRPr="00550E6A" w:rsidRDefault="00E63D7D">
      <w:pPr>
        <w:spacing w:after="200" w:line="276" w:lineRule="auto"/>
        <w:jc w:val="left"/>
        <w:rPr>
          <w:lang w:val="en-US"/>
        </w:rPr>
      </w:pPr>
      <w:r w:rsidRPr="00550E6A">
        <w:rPr>
          <w:lang w:val="en-US"/>
        </w:rPr>
        <w:br w:type="page"/>
      </w:r>
    </w:p>
    <w:p w:rsidR="00E63D7D" w:rsidRPr="00550E6A" w:rsidRDefault="00E63D7D">
      <w:pPr>
        <w:rPr>
          <w:b/>
          <w:u w:val="single"/>
        </w:rPr>
      </w:pPr>
      <w:r w:rsidRPr="00550E6A">
        <w:rPr>
          <w:b/>
          <w:u w:val="single"/>
        </w:rPr>
        <w:t>Annexe :</w:t>
      </w:r>
    </w:p>
    <w:p w:rsidR="0034251F" w:rsidRPr="00550E6A" w:rsidRDefault="0034251F">
      <w:pPr>
        <w:rPr>
          <w:b/>
          <w:u w:val="single"/>
        </w:rPr>
      </w:pPr>
    </w:p>
    <w:p w:rsidR="00E63D7D" w:rsidRPr="00A02526" w:rsidRDefault="00E63D7D">
      <w:pPr>
        <w:rPr>
          <w:b/>
        </w:rPr>
      </w:pPr>
      <w:r w:rsidRPr="00A02526">
        <w:rPr>
          <w:b/>
          <w:u w:val="single"/>
        </w:rPr>
        <w:t>Table 1</w:t>
      </w:r>
      <w:r w:rsidRPr="00A02526">
        <w:rPr>
          <w:b/>
        </w:rPr>
        <w:t> : Les indicateurs TiVA</w:t>
      </w:r>
    </w:p>
    <w:p w:rsidR="00E5215D" w:rsidRDefault="00AE785F">
      <w:r w:rsidRPr="00AE785F">
        <w:rPr>
          <w:noProof/>
        </w:rPr>
        <w:drawing>
          <wp:inline distT="0" distB="0" distL="0" distR="0" wp14:anchorId="44462866" wp14:editId="5288B6A8">
            <wp:extent cx="5618073" cy="7063987"/>
            <wp:effectExtent l="0" t="0" r="1905"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1643" cy="7068476"/>
                    </a:xfrm>
                    <a:prstGeom prst="rect">
                      <a:avLst/>
                    </a:prstGeom>
                    <a:noFill/>
                    <a:ln>
                      <a:noFill/>
                    </a:ln>
                  </pic:spPr>
                </pic:pic>
              </a:graphicData>
            </a:graphic>
          </wp:inline>
        </w:drawing>
      </w:r>
    </w:p>
    <w:p w:rsidR="00625898" w:rsidRDefault="00625898"/>
    <w:p w:rsidR="00625898" w:rsidRDefault="00625898">
      <w:pPr>
        <w:spacing w:after="200" w:line="276" w:lineRule="auto"/>
        <w:jc w:val="left"/>
      </w:pPr>
      <w:r>
        <w:br w:type="page"/>
      </w:r>
    </w:p>
    <w:p w:rsidR="00625898" w:rsidRPr="00A02526" w:rsidRDefault="00625898">
      <w:pPr>
        <w:rPr>
          <w:b/>
        </w:rPr>
      </w:pPr>
      <w:r w:rsidRPr="00A02526">
        <w:rPr>
          <w:b/>
          <w:u w:val="single"/>
        </w:rPr>
        <w:t>Table 2</w:t>
      </w:r>
      <w:r w:rsidRPr="00A02526">
        <w:rPr>
          <w:b/>
        </w:rPr>
        <w:t> : Les secteurs couverts par la base TiVA</w:t>
      </w:r>
    </w:p>
    <w:p w:rsidR="00E5215D" w:rsidRDefault="00AE785F">
      <w:r w:rsidRPr="00AE785F">
        <w:rPr>
          <w:noProof/>
        </w:rPr>
        <w:drawing>
          <wp:inline distT="0" distB="0" distL="0" distR="0">
            <wp:extent cx="4001414" cy="5827526"/>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1347" cy="5827428"/>
                    </a:xfrm>
                    <a:prstGeom prst="rect">
                      <a:avLst/>
                    </a:prstGeom>
                    <a:noFill/>
                    <a:ln>
                      <a:noFill/>
                    </a:ln>
                  </pic:spPr>
                </pic:pic>
              </a:graphicData>
            </a:graphic>
          </wp:inline>
        </w:drawing>
      </w:r>
    </w:p>
    <w:p w:rsidR="00A02526" w:rsidRDefault="00A02526">
      <w:pPr>
        <w:spacing w:after="200" w:line="276" w:lineRule="auto"/>
        <w:jc w:val="left"/>
      </w:pPr>
      <w:r>
        <w:br w:type="page"/>
      </w:r>
    </w:p>
    <w:p w:rsidR="004955A0" w:rsidRPr="00A02526" w:rsidRDefault="004955A0">
      <w:pPr>
        <w:rPr>
          <w:b/>
        </w:rPr>
      </w:pPr>
      <w:r w:rsidRPr="00A02526">
        <w:rPr>
          <w:b/>
          <w:u w:val="single"/>
        </w:rPr>
        <w:t>Table 3</w:t>
      </w:r>
      <w:r w:rsidRPr="00A02526">
        <w:rPr>
          <w:b/>
        </w:rPr>
        <w:t> : Les pays couverts par la base TiVA</w:t>
      </w:r>
    </w:p>
    <w:p w:rsidR="004955A0" w:rsidRDefault="00131865">
      <w:r w:rsidRPr="00131865">
        <w:rPr>
          <w:noProof/>
        </w:rPr>
        <w:drawing>
          <wp:inline distT="0" distB="0" distL="0" distR="0">
            <wp:extent cx="4454956" cy="3325939"/>
            <wp:effectExtent l="0" t="0" r="3175"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8495" cy="3328581"/>
                    </a:xfrm>
                    <a:prstGeom prst="rect">
                      <a:avLst/>
                    </a:prstGeom>
                    <a:noFill/>
                    <a:ln>
                      <a:noFill/>
                    </a:ln>
                  </pic:spPr>
                </pic:pic>
              </a:graphicData>
            </a:graphic>
          </wp:inline>
        </w:drawing>
      </w:r>
    </w:p>
    <w:p w:rsidR="00A02526" w:rsidRDefault="00A02526">
      <w:pPr>
        <w:rPr>
          <w:u w:val="single"/>
        </w:rPr>
      </w:pPr>
    </w:p>
    <w:p w:rsidR="00A02526" w:rsidRDefault="00A02526">
      <w:pPr>
        <w:spacing w:after="200" w:line="276" w:lineRule="auto"/>
        <w:jc w:val="left"/>
        <w:rPr>
          <w:u w:val="single"/>
        </w:rPr>
      </w:pPr>
      <w:r>
        <w:rPr>
          <w:u w:val="single"/>
        </w:rPr>
        <w:br w:type="page"/>
      </w:r>
    </w:p>
    <w:p w:rsidR="004955A0" w:rsidRPr="00A02526" w:rsidRDefault="00433D02">
      <w:pPr>
        <w:rPr>
          <w:b/>
        </w:rPr>
      </w:pPr>
      <w:r w:rsidRPr="00A02526">
        <w:rPr>
          <w:b/>
          <w:u w:val="single"/>
        </w:rPr>
        <w:t>Table 4</w:t>
      </w:r>
      <w:r w:rsidRPr="00A02526">
        <w:rPr>
          <w:b/>
        </w:rPr>
        <w:t> : Les secteurs couverts par la base WIOD</w:t>
      </w:r>
    </w:p>
    <w:p w:rsidR="00433D02" w:rsidRPr="00617CB8" w:rsidRDefault="00433D02" w:rsidP="00433D02">
      <w:pPr>
        <w:spacing w:after="0"/>
        <w:rPr>
          <w:sz w:val="20"/>
          <w:szCs w:val="20"/>
        </w:rPr>
      </w:pPr>
      <w:r w:rsidRPr="00433D02">
        <w:rPr>
          <w:noProof/>
        </w:rPr>
        <w:drawing>
          <wp:inline distT="0" distB="0" distL="0" distR="0" wp14:anchorId="56BD58FD" wp14:editId="390BC677">
            <wp:extent cx="5875647" cy="569111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7040" cy="5692465"/>
                    </a:xfrm>
                    <a:prstGeom prst="rect">
                      <a:avLst/>
                    </a:prstGeom>
                    <a:noFill/>
                    <a:ln>
                      <a:noFill/>
                    </a:ln>
                  </pic:spPr>
                </pic:pic>
              </a:graphicData>
            </a:graphic>
          </wp:inline>
        </w:drawing>
      </w:r>
      <w:r w:rsidRPr="00617CB8">
        <w:rPr>
          <w:sz w:val="20"/>
          <w:szCs w:val="20"/>
        </w:rPr>
        <w:t>M: Secteurs manufacturiers</w:t>
      </w:r>
    </w:p>
    <w:p w:rsidR="00433D02" w:rsidRPr="00617CB8" w:rsidRDefault="00433D02" w:rsidP="00433D02">
      <w:pPr>
        <w:spacing w:after="0"/>
        <w:rPr>
          <w:sz w:val="20"/>
          <w:szCs w:val="20"/>
        </w:rPr>
      </w:pPr>
      <w:r w:rsidRPr="00617CB8">
        <w:rPr>
          <w:sz w:val="20"/>
          <w:szCs w:val="20"/>
        </w:rPr>
        <w:t>S : Secteurs des services</w:t>
      </w:r>
    </w:p>
    <w:p w:rsidR="00433D02" w:rsidRPr="00617CB8" w:rsidRDefault="00433D02" w:rsidP="00433D02">
      <w:pPr>
        <w:spacing w:after="0"/>
        <w:rPr>
          <w:sz w:val="20"/>
          <w:szCs w:val="20"/>
        </w:rPr>
      </w:pPr>
      <w:r w:rsidRPr="00617CB8">
        <w:rPr>
          <w:sz w:val="20"/>
          <w:szCs w:val="20"/>
        </w:rPr>
        <w:t>L : Basse-technologie</w:t>
      </w:r>
    </w:p>
    <w:p w:rsidR="00433D02" w:rsidRPr="00617CB8" w:rsidRDefault="00433D02" w:rsidP="00433D02">
      <w:pPr>
        <w:spacing w:after="0"/>
        <w:rPr>
          <w:sz w:val="20"/>
          <w:szCs w:val="20"/>
        </w:rPr>
      </w:pPr>
      <w:r w:rsidRPr="00617CB8">
        <w:rPr>
          <w:sz w:val="20"/>
          <w:szCs w:val="20"/>
        </w:rPr>
        <w:t>M</w:t>
      </w:r>
      <w:r>
        <w:rPr>
          <w:sz w:val="20"/>
          <w:szCs w:val="20"/>
        </w:rPr>
        <w:t>o</w:t>
      </w:r>
      <w:r w:rsidRPr="00617CB8">
        <w:rPr>
          <w:sz w:val="20"/>
          <w:szCs w:val="20"/>
        </w:rPr>
        <w:t> : Moyenne-technologie</w:t>
      </w:r>
    </w:p>
    <w:p w:rsidR="00433D02" w:rsidRPr="00617CB8" w:rsidRDefault="00433D02" w:rsidP="00433D02">
      <w:pPr>
        <w:spacing w:after="0"/>
        <w:rPr>
          <w:sz w:val="20"/>
          <w:szCs w:val="20"/>
        </w:rPr>
      </w:pPr>
      <w:r w:rsidRPr="00617CB8">
        <w:rPr>
          <w:sz w:val="20"/>
          <w:szCs w:val="20"/>
        </w:rPr>
        <w:t>H : Haute-technologie</w:t>
      </w:r>
    </w:p>
    <w:p w:rsidR="00433D02" w:rsidRDefault="00433D02">
      <w:pPr>
        <w:spacing w:after="200" w:line="276" w:lineRule="auto"/>
        <w:jc w:val="left"/>
      </w:pPr>
      <w:r>
        <w:br w:type="page"/>
      </w:r>
    </w:p>
    <w:p w:rsidR="00433D02" w:rsidRPr="00A02526" w:rsidRDefault="00433D02">
      <w:pPr>
        <w:rPr>
          <w:b/>
        </w:rPr>
      </w:pPr>
      <w:r w:rsidRPr="00A02526">
        <w:rPr>
          <w:b/>
          <w:u w:val="single"/>
        </w:rPr>
        <w:t>Table 5</w:t>
      </w:r>
      <w:r w:rsidRPr="00A02526">
        <w:rPr>
          <w:b/>
        </w:rPr>
        <w:t> : Les pays couverts par la base WIOD</w:t>
      </w:r>
    </w:p>
    <w:p w:rsidR="00433D02" w:rsidRPr="00E63D7D" w:rsidRDefault="00433D02">
      <w:r w:rsidRPr="00433D02">
        <w:rPr>
          <w:noProof/>
        </w:rPr>
        <w:drawing>
          <wp:inline distT="0" distB="0" distL="0" distR="0">
            <wp:extent cx="2777320" cy="328588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7405" cy="3285981"/>
                    </a:xfrm>
                    <a:prstGeom prst="rect">
                      <a:avLst/>
                    </a:prstGeom>
                    <a:noFill/>
                    <a:ln>
                      <a:noFill/>
                    </a:ln>
                  </pic:spPr>
                </pic:pic>
              </a:graphicData>
            </a:graphic>
          </wp:inline>
        </w:drawing>
      </w:r>
    </w:p>
    <w:sectPr w:rsidR="00433D02" w:rsidRPr="00E63D7D">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A46" w:rsidRDefault="00490A46" w:rsidP="00665654">
      <w:pPr>
        <w:spacing w:after="0"/>
      </w:pPr>
      <w:r>
        <w:separator/>
      </w:r>
    </w:p>
  </w:endnote>
  <w:endnote w:type="continuationSeparator" w:id="0">
    <w:p w:rsidR="00490A46" w:rsidRDefault="00490A46" w:rsidP="00665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9797874"/>
      <w:docPartObj>
        <w:docPartGallery w:val="Page Numbers (Bottom of Page)"/>
        <w:docPartUnique/>
      </w:docPartObj>
    </w:sdtPr>
    <w:sdtEndPr/>
    <w:sdtContent>
      <w:p w:rsidR="003B0A3E" w:rsidRDefault="003B0A3E" w:rsidP="005618B8">
        <w:pPr>
          <w:pStyle w:val="Pieddepage"/>
          <w:jc w:val="center"/>
        </w:pPr>
        <w:r>
          <w:fldChar w:fldCharType="begin"/>
        </w:r>
        <w:r>
          <w:instrText>PAGE   \* MERGEFORMAT</w:instrText>
        </w:r>
        <w:r>
          <w:fldChar w:fldCharType="separate"/>
        </w:r>
        <w:r w:rsidR="005C20C8">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A46" w:rsidRDefault="00490A46" w:rsidP="00665654">
      <w:pPr>
        <w:spacing w:after="0"/>
      </w:pPr>
      <w:r>
        <w:separator/>
      </w:r>
    </w:p>
  </w:footnote>
  <w:footnote w:type="continuationSeparator" w:id="0">
    <w:p w:rsidR="00490A46" w:rsidRDefault="00490A46" w:rsidP="00665654">
      <w:pPr>
        <w:spacing w:after="0"/>
      </w:pPr>
      <w:r>
        <w:continuationSeparator/>
      </w:r>
    </w:p>
  </w:footnote>
  <w:footnote w:id="1">
    <w:p w:rsidR="003B0A3E" w:rsidRDefault="003B0A3E" w:rsidP="00B85408">
      <w:pPr>
        <w:pStyle w:val="Notedebasdepage"/>
      </w:pPr>
      <w:r>
        <w:rPr>
          <w:rStyle w:val="Appelnotedebasdep"/>
        </w:rPr>
        <w:footnoteRef/>
      </w:r>
      <w:r>
        <w:t xml:space="preserve"> La nouvelle version de la base issue de la mise à jour de juin 2015 essaye de remédier ce problème. Les ICIO ont été publiés dans ce but, par exemple. Et il semble que l’OCDE publiera bientôt des nouvelles notes méthodologiques. Mais, pour l’instant, la documentation reste encore insuffisante et ne détaille ni la méthodologie de construction des ICIO ni de calcul des indicateurs de commerce publiés par le projet.</w:t>
      </w:r>
    </w:p>
  </w:footnote>
  <w:footnote w:id="2">
    <w:p w:rsidR="003B0A3E" w:rsidRPr="002F2FC2" w:rsidRDefault="003B0A3E" w:rsidP="00B26E47">
      <w:pPr>
        <w:pStyle w:val="Notedebasdepage"/>
      </w:pPr>
      <w:r>
        <w:rPr>
          <w:rStyle w:val="Appelnotedebasdep"/>
        </w:rPr>
        <w:footnoteRef/>
      </w:r>
      <w:r w:rsidRPr="002F2FC2">
        <w:t xml:space="preserve"> Les onze institutions sont: Université de Groningen, Institute for Prospective Technological Studies, The Vienna Institute for International Economic Studies (Wiiw), Zentrum für Europäische Wirtschaftsforschung, Österreichisches Institut für Wirtschaftsforschung, HochschuleKonstanz, The Conference Board Europe, CPB Netherlands Bureau for Economic Policy Analysis, Institute of Communication and Computer Systems, Central Recherche SA et l’OECD.</w:t>
      </w:r>
    </w:p>
  </w:footnote>
  <w:footnote w:id="3">
    <w:p w:rsidR="00761B94" w:rsidRDefault="00761B94" w:rsidP="00761B94">
      <w:pPr>
        <w:pStyle w:val="Notedebasdepage"/>
      </w:pPr>
      <w:r>
        <w:rPr>
          <w:rStyle w:val="Appelnotedebasdep"/>
        </w:rPr>
        <w:footnoteRef/>
      </w:r>
      <w:r>
        <w:t xml:space="preserve"> L</w:t>
      </w:r>
      <w:r w:rsidRPr="00A776B0">
        <w:t xml:space="preserve">es tableaux des ressources indiquent la production domestique et importée par ligne de produit et par secteur tandis que les tableaux des emplois informent de l’utilisation de </w:t>
      </w:r>
      <w:r>
        <w:t>ces produits par secteur (</w:t>
      </w:r>
      <w:r w:rsidRPr="00A776B0">
        <w:t>consommation intermédiaire</w:t>
      </w:r>
      <w:r>
        <w:t>)</w:t>
      </w:r>
      <w:r w:rsidRPr="00A776B0">
        <w:t xml:space="preserve"> et par catégories d’utilisation finale</w:t>
      </w:r>
      <w:r>
        <w:t xml:space="preserve">. </w:t>
      </w:r>
      <w:r w:rsidRPr="00705CD8">
        <w:t xml:space="preserve">Les TRE permettent </w:t>
      </w:r>
      <w:r>
        <w:t>une</w:t>
      </w:r>
      <w:r w:rsidRPr="00705CD8">
        <w:t xml:space="preserve"> liaison plus précise entre les données nationales et de commerce international</w:t>
      </w:r>
      <w:r>
        <w:t>, par rapport aux TES</w:t>
      </w:r>
      <w:r w:rsidRPr="00705CD8">
        <w:t>.</w:t>
      </w:r>
      <w:r>
        <w:t xml:space="preserve"> En effet, </w:t>
      </w:r>
      <w:r w:rsidRPr="00705CD8">
        <w:t xml:space="preserve">les TRE différencient les </w:t>
      </w:r>
      <w:r>
        <w:t>produits</w:t>
      </w:r>
      <w:r w:rsidRPr="00705CD8">
        <w:t xml:space="preserve"> par secteurs tandis que les TES supposent une seule ligne</w:t>
      </w:r>
      <w:r>
        <w:t xml:space="preserve"> de produit par secteur.</w:t>
      </w:r>
    </w:p>
  </w:footnote>
  <w:footnote w:id="4">
    <w:p w:rsidR="003B0A3E" w:rsidRDefault="003B0A3E" w:rsidP="00751207">
      <w:pPr>
        <w:pStyle w:val="Notedebasdepage"/>
      </w:pPr>
      <w:r>
        <w:rPr>
          <w:rStyle w:val="Appelnotedebasdep"/>
        </w:rPr>
        <w:footnoteRef/>
      </w:r>
      <w:r>
        <w:t xml:space="preserve"> Il s’agit de la même classification utilisée par Eurostat dans sa publication des TRE de l’UE-27.</w:t>
      </w:r>
    </w:p>
  </w:footnote>
  <w:footnote w:id="5">
    <w:p w:rsidR="003B0A3E" w:rsidRDefault="003B0A3E" w:rsidP="0006090B">
      <w:pPr>
        <w:pStyle w:val="Notedebasdepage"/>
      </w:pPr>
      <w:r>
        <w:rPr>
          <w:rStyle w:val="Appelnotedebasdep"/>
        </w:rPr>
        <w:footnoteRef/>
      </w:r>
      <w:r>
        <w:t xml:space="preserve"> Les statistiques des comptes nationaux suivent la définition du manuel de la Balance des paiements pour déterminer les flux commerciaux, c’est à dire le changement de propriété. L’INS 1993 recommandait néanmoins une exception : les biens exportés pour transformation et ensuite réimportés. Si les transformations sont significatives, les flux doivent être traités comme des flux d’exportations et d’importations. Cette recommandation était néanmoins suivie différemment selon les pays et une nouvelle règle (INS 2008) recommande l’enregistrement de ces frais de transformation comme une exportation de services. Le projet WIOD suit les recommandations de l’INS 1993 de sorte que </w:t>
      </w:r>
      <w:r w:rsidRPr="000C7B55">
        <w:t xml:space="preserve">toute activité qui génère de la valeur ajoutée </w:t>
      </w:r>
      <w:r>
        <w:t>est</w:t>
      </w:r>
      <w:r w:rsidRPr="000C7B55">
        <w:t xml:space="preserve"> inclus</w:t>
      </w:r>
      <w:r>
        <w:t>e</w:t>
      </w:r>
      <w:r w:rsidRPr="000C7B55">
        <w:t xml:space="preserve"> dans les tableaux</w:t>
      </w:r>
      <w:r>
        <w:t>.</w:t>
      </w:r>
    </w:p>
  </w:footnote>
  <w:footnote w:id="6">
    <w:p w:rsidR="003B0A3E" w:rsidRDefault="003B0A3E" w:rsidP="001E231D">
      <w:pPr>
        <w:pStyle w:val="Notedebasdepage"/>
      </w:pPr>
      <w:r>
        <w:rPr>
          <w:rStyle w:val="Appelnotedebasdep"/>
        </w:rPr>
        <w:footnoteRef/>
      </w:r>
      <w:r>
        <w:t xml:space="preserve"> Les importations</w:t>
      </w:r>
      <w:r w:rsidRPr="00AF7825">
        <w:t xml:space="preserve"> sont utilisées comme le miroir des </w:t>
      </w:r>
      <w:r>
        <w:t xml:space="preserve">exportations. Précisément, </w:t>
      </w:r>
      <w:r w:rsidRPr="00AF7825">
        <w:t xml:space="preserve">les exportations du pays A vers B sont </w:t>
      </w:r>
      <w:r>
        <w:t>calculées à partir des i</w:t>
      </w:r>
      <w:r w:rsidRPr="00AF7825">
        <w:t>mportation</w:t>
      </w:r>
      <w:r>
        <w:t>s</w:t>
      </w:r>
      <w:r w:rsidRPr="00AF7825">
        <w:t xml:space="preserve"> de B en provenance de A.</w:t>
      </w:r>
    </w:p>
  </w:footnote>
  <w:footnote w:id="7">
    <w:p w:rsidR="003B0A3E" w:rsidRDefault="003B0A3E" w:rsidP="007A7B08">
      <w:pPr>
        <w:pStyle w:val="Notedebasdepage"/>
      </w:pPr>
      <w:r>
        <w:rPr>
          <w:rStyle w:val="Appelnotedebasdep"/>
        </w:rPr>
        <w:footnoteRef/>
      </w:r>
      <w:r>
        <w:t xml:space="preserve"> Pour</w:t>
      </w:r>
      <w:r w:rsidRPr="001E231D">
        <w:t xml:space="preserve"> garantir la cohérence</w:t>
      </w:r>
      <w:r>
        <w:t xml:space="preserve"> des données, l’observation RoW est calculée à partir du résidu entre le commerce total</w:t>
      </w:r>
      <w:r w:rsidRPr="001E231D">
        <w:t xml:space="preserve"> et </w:t>
      </w:r>
      <w:r>
        <w:t>le commerce</w:t>
      </w:r>
      <w:r w:rsidRPr="001E231D">
        <w:t xml:space="preserve"> avec les pays </w:t>
      </w:r>
      <w:r>
        <w:t>couverts par</w:t>
      </w:r>
      <w:r w:rsidRPr="001E231D">
        <w:t xml:space="preserve"> l’échantillon.</w:t>
      </w:r>
    </w:p>
  </w:footnote>
  <w:footnote w:id="8">
    <w:p w:rsidR="003B0A3E" w:rsidRDefault="003B0A3E" w:rsidP="0006090B">
      <w:pPr>
        <w:pStyle w:val="Notedebasdepage"/>
      </w:pPr>
      <w:r>
        <w:rPr>
          <w:rStyle w:val="Appelnotedebasdep"/>
        </w:rPr>
        <w:footnoteRef/>
      </w:r>
      <w:r>
        <w:t xml:space="preserve"> Deux autres bases supplémentaires sont également utilisées : celle </w:t>
      </w:r>
      <w:r>
        <w:rPr>
          <w:rFonts w:eastAsiaTheme="minorEastAsia"/>
        </w:rPr>
        <w:t>d’Eurostat (</w:t>
      </w:r>
      <w:r w:rsidRPr="0051377F">
        <w:t>http://epp.eurostat.ec.europa.eu/portal/page/portal/balance_of_payments/data/database</w:t>
      </w:r>
      <w:r>
        <w:rPr>
          <w:rFonts w:eastAsiaTheme="minorEastAsia"/>
        </w:rPr>
        <w:t>) et de l’OCDE (</w:t>
      </w:r>
      <w:r w:rsidRPr="00AC0AAC">
        <w:t>http://www.oecd.org/std/internationaltradeandbalanceofpaymentsstatistics/</w:t>
      </w:r>
      <w:r>
        <w:t>oecdstatisticsoninternationaltradeinservicesdetailedtablesbypartnercountry2004-20072009edition.htm)</w:t>
      </w:r>
      <w:r>
        <w:rPr>
          <w:rFonts w:eastAsiaTheme="minorEastAsia"/>
        </w:rPr>
        <w:t>.</w:t>
      </w:r>
    </w:p>
  </w:footnote>
  <w:footnote w:id="9">
    <w:p w:rsidR="003B0A3E" w:rsidRDefault="003B0A3E" w:rsidP="00D9445F">
      <w:pPr>
        <w:pStyle w:val="Notedebasdepage"/>
      </w:pPr>
      <w:r>
        <w:rPr>
          <w:rStyle w:val="Appelnotedebasdep"/>
        </w:rPr>
        <w:footnoteRef/>
      </w:r>
      <w:r>
        <w:t xml:space="preserve"> </w:t>
      </w:r>
      <w:r w:rsidRPr="009F564D">
        <w:t xml:space="preserve">Les tables sont construites sur une logique territoriale en incluant, pour un pays donné, toutes les activités des résidents et non-résidents qui ont lieu sur le territoire de ce pays. Les modes 3 et 4 </w:t>
      </w:r>
      <w:r>
        <w:t>(</w:t>
      </w:r>
      <w:r w:rsidRPr="00B777D0">
        <w:t xml:space="preserve">services fournis </w:t>
      </w:r>
      <w:r>
        <w:t>par tout type d'entreprise ou établissement professionnel d’</w:t>
      </w:r>
      <w:r w:rsidRPr="00B777D0">
        <w:t>un pays sur le ter</w:t>
      </w:r>
      <w:r>
        <w:t>ritoire d’</w:t>
      </w:r>
      <w:r w:rsidRPr="00B777D0">
        <w:t>un autre</w:t>
      </w:r>
      <w:r>
        <w:t xml:space="preserve"> pays ; et les s</w:t>
      </w:r>
      <w:r w:rsidRPr="00060DE0">
        <w:t>ervices fournis par des ressortissants d</w:t>
      </w:r>
      <w:r>
        <w:t>’</w:t>
      </w:r>
      <w:r w:rsidRPr="00060DE0">
        <w:t>un pay</w:t>
      </w:r>
      <w:r>
        <w:t xml:space="preserve">s sur le territoire d’un autre pays) </w:t>
      </w:r>
      <w:r w:rsidRPr="009F564D">
        <w:t>ne sont donc pas considérés comme commerce international par cette logique. Et les échanges inclus dans le mode 2</w:t>
      </w:r>
      <w:r>
        <w:t xml:space="preserve"> (</w:t>
      </w:r>
      <w:r w:rsidRPr="00B777D0">
        <w:t xml:space="preserve">services fournis sur le territoire d'une nation aux consommateurs </w:t>
      </w:r>
      <w:r>
        <w:t>non-résidents)</w:t>
      </w:r>
      <w:r w:rsidRPr="009F564D">
        <w:t xml:space="preserve"> sont déjà couverts par les TRE </w:t>
      </w:r>
      <w:r>
        <w:t xml:space="preserve">(dans la rubrique des corrections territoriales) </w:t>
      </w:r>
      <w:r w:rsidRPr="009F564D">
        <w:t>et ne sont pas décomposés davantage par pays de provenance.</w:t>
      </w:r>
    </w:p>
  </w:footnote>
  <w:footnote w:id="10">
    <w:p w:rsidR="003B0A3E" w:rsidRDefault="003B0A3E" w:rsidP="00D9445F">
      <w:pPr>
        <w:pStyle w:val="Notedebasdepage"/>
      </w:pPr>
      <w:r>
        <w:rPr>
          <w:rStyle w:val="Appelnotedebasdep"/>
        </w:rPr>
        <w:footnoteRef/>
      </w:r>
      <w:r>
        <w:t xml:space="preserve"> Pour des produits mixtes, qui peuvent être classés en deux catégories différentes, un partage arbitraire</w:t>
      </w:r>
      <w:r w:rsidRPr="007751CA">
        <w:t xml:space="preserve"> </w:t>
      </w:r>
      <w:r>
        <w:t>est appliqué (de 1/3-2/3 ou 1/2-1/2).</w:t>
      </w:r>
    </w:p>
  </w:footnote>
  <w:footnote w:id="11">
    <w:p w:rsidR="003B0A3E" w:rsidRDefault="003B0A3E" w:rsidP="00D9445F">
      <w:pPr>
        <w:pStyle w:val="Notedebasdepage"/>
      </w:pPr>
      <w:r>
        <w:rPr>
          <w:rStyle w:val="Appelnotedebasdep"/>
        </w:rPr>
        <w:footnoteRef/>
      </w:r>
      <w:r>
        <w:t xml:space="preserve"> </w:t>
      </w:r>
      <w:r w:rsidRPr="00435BB3">
        <w:t>Ces tableaux fournissent des informations sur les parts des importations de services utilisés comme consommation intermédiaire ou finale. Toutefois, l’analyse révèle d'énormes différences entre les pays et dans le temps. Une moyenne simple est donc appli</w:t>
      </w:r>
      <w:r>
        <w:t xml:space="preserve">quée à toutes les observations, </w:t>
      </w:r>
      <w:r w:rsidRPr="00435BB3">
        <w:t xml:space="preserve">avec environ 70% des échanges de service étant </w:t>
      </w:r>
      <w:r w:rsidR="00E723F7">
        <w:t>classé</w:t>
      </w:r>
      <w:r>
        <w:t>s comme</w:t>
      </w:r>
      <w:r w:rsidRPr="00435BB3">
        <w:t xml:space="preserve"> consommation intermédiaire.</w:t>
      </w:r>
    </w:p>
  </w:footnote>
  <w:footnote w:id="12">
    <w:p w:rsidR="003B0A3E" w:rsidRDefault="003B0A3E" w:rsidP="00D9445F">
      <w:pPr>
        <w:pStyle w:val="Notedebasdepage"/>
      </w:pPr>
      <w:r>
        <w:rPr>
          <w:rStyle w:val="Appelnotedebasdep"/>
        </w:rPr>
        <w:footnoteRef/>
      </w:r>
      <w:r>
        <w:t xml:space="preserve"> P</w:t>
      </w:r>
      <w:r w:rsidRPr="00EA7A4B">
        <w:t>ar exemple</w:t>
      </w:r>
      <w:r>
        <w:t>,</w:t>
      </w:r>
      <w:r w:rsidRPr="00EA7A4B">
        <w:t xml:space="preserve"> </w:t>
      </w:r>
      <w:r>
        <w:t>p</w:t>
      </w:r>
      <w:r w:rsidRPr="00EA7A4B">
        <w:t xml:space="preserve">our </w:t>
      </w:r>
      <w:r>
        <w:t>la consommation</w:t>
      </w:r>
      <w:r w:rsidRPr="00EA7A4B">
        <w:t xml:space="preserve"> intermédiaire</w:t>
      </w:r>
      <w:r>
        <w:t xml:space="preserve"> du secteur k du pays i</w:t>
      </w:r>
      <w:r w:rsidRPr="00EA7A4B">
        <w:t xml:space="preserve">, </w:t>
      </w:r>
      <w:r>
        <w:t>le rapport entre les importations et les achats totaux</w:t>
      </w:r>
      <w:r w:rsidRPr="00EA7A4B">
        <w:t xml:space="preserve"> </w:t>
      </w:r>
      <w:r>
        <w:t>est égal pour tous les secteurs avec lesquels k fait du commerce. Mais cette proportion est différente</w:t>
      </w:r>
      <w:r w:rsidRPr="00EA7A4B">
        <w:t xml:space="preserve"> </w:t>
      </w:r>
      <w:r>
        <w:t>pour la consommation finale ou pour les biens de capital</w:t>
      </w:r>
      <w:r w:rsidRPr="00EA7A4B">
        <w:t xml:space="preserve">. </w:t>
      </w:r>
      <w:r w:rsidRPr="0086065D">
        <w:t xml:space="preserve">Une procédure similaire </w:t>
      </w:r>
      <w:r>
        <w:t>est</w:t>
      </w:r>
      <w:r w:rsidRPr="0086065D">
        <w:t xml:space="preserve"> utilisée pour fractionner </w:t>
      </w:r>
      <w:r>
        <w:t>les données</w:t>
      </w:r>
      <w:r w:rsidRPr="0086065D">
        <w:t xml:space="preserve"> des importations selon le pays d'origine. Contrairement </w:t>
      </w:r>
      <w:r>
        <w:t>à</w:t>
      </w:r>
      <w:r w:rsidRPr="0086065D">
        <w:t xml:space="preserve"> l'hypothèse de</w:t>
      </w:r>
      <w:r>
        <w:t xml:space="preserve"> la</w:t>
      </w:r>
      <w:r w:rsidRPr="0086065D">
        <w:t xml:space="preserve"> proportionnalité standard, la part des importations de pays diffèrent selon les catégories d'u</w:t>
      </w:r>
      <w:r>
        <w:t>tilisation finale, mais pas à l’intérieur de</w:t>
      </w:r>
      <w:r w:rsidRPr="0086065D">
        <w:t>s catégories</w:t>
      </w:r>
      <w:r>
        <w:t>.</w:t>
      </w:r>
    </w:p>
  </w:footnote>
  <w:footnote w:id="13">
    <w:p w:rsidR="003B0A3E" w:rsidRDefault="003B0A3E" w:rsidP="00F27CC4">
      <w:pPr>
        <w:pStyle w:val="Notedebasdepage"/>
      </w:pPr>
      <w:r>
        <w:rPr>
          <w:rStyle w:val="Appelnotedebasdep"/>
        </w:rPr>
        <w:footnoteRef/>
      </w:r>
      <w:r>
        <w:t xml:space="preserve"> Le modèle concurrent est le C, qui suppose une structure de vente sectorielle fixe </w:t>
      </w:r>
      <w:r>
        <w:rPr>
          <w:rStyle w:val="hps"/>
        </w:rPr>
        <w:t>(pour</w:t>
      </w:r>
      <w:r>
        <w:t xml:space="preserve"> </w:t>
      </w:r>
      <w:r>
        <w:rPr>
          <w:rStyle w:val="hps"/>
        </w:rPr>
        <w:t>les livraisons d’intrants</w:t>
      </w:r>
      <w:r>
        <w:t xml:space="preserve"> </w:t>
      </w:r>
      <w:r>
        <w:rPr>
          <w:rStyle w:val="hps"/>
        </w:rPr>
        <w:t>intermédiaires</w:t>
      </w:r>
      <w:r>
        <w:t xml:space="preserve"> </w:t>
      </w:r>
      <w:r>
        <w:rPr>
          <w:rStyle w:val="hps"/>
        </w:rPr>
        <w:t>à d’autres secteurs</w:t>
      </w:r>
      <w:r>
        <w:t xml:space="preserve"> ou aux ca</w:t>
      </w:r>
      <w:r>
        <w:rPr>
          <w:rStyle w:val="hps"/>
        </w:rPr>
        <w:t>tégories</w:t>
      </w:r>
      <w:r>
        <w:t xml:space="preserve"> </w:t>
      </w:r>
      <w:r>
        <w:rPr>
          <w:rStyle w:val="hps"/>
        </w:rPr>
        <w:t>de demande finale</w:t>
      </w:r>
      <w:r>
        <w:t>). Dans ce modèle, chaque secteur a sa propre structure de vente et tous les biens et services produits par un secteur (principaux ou secondaires) sont vendus dans les mêmes proportions aux autres secteurs et catégories de demande finale.</w:t>
      </w:r>
    </w:p>
  </w:footnote>
  <w:footnote w:id="14">
    <w:p w:rsidR="003B0A3E" w:rsidRDefault="003B0A3E">
      <w:pPr>
        <w:pStyle w:val="Notedebasdepage"/>
      </w:pPr>
      <w:r>
        <w:rPr>
          <w:rStyle w:val="Appelnotedebasdep"/>
        </w:rPr>
        <w:footnoteRef/>
      </w:r>
      <w:r>
        <w:t xml:space="preserve"> </w:t>
      </w:r>
      <w:r w:rsidRPr="00A36C79">
        <w:t xml:space="preserve">La classification sectorielle utilisée dans la version actuelle des tables ICIO repose sur </w:t>
      </w:r>
      <w:r>
        <w:t>cette classification CITI Rev.3, ce qui signifie que les tables</w:t>
      </w:r>
      <w:r w:rsidRPr="00A36C79">
        <w:t xml:space="preserve"> sont compatibles avec d’autres ensembles de données analytiques basés sur cette classification</w:t>
      </w:r>
      <w:r>
        <w:t>.</w:t>
      </w:r>
    </w:p>
  </w:footnote>
  <w:footnote w:id="15">
    <w:p w:rsidR="003B0A3E" w:rsidRDefault="003B0A3E">
      <w:pPr>
        <w:pStyle w:val="Notedebasdepage"/>
      </w:pPr>
      <w:r>
        <w:rPr>
          <w:rStyle w:val="Appelnotedebasdep"/>
        </w:rPr>
        <w:footnoteRef/>
      </w:r>
      <w:r>
        <w:t xml:space="preserve"> </w:t>
      </w:r>
      <w:r w:rsidRPr="00A92CD3">
        <w:t>La mesure des échanges en valeur ajoutée se rapporte à l'activité au niveau sectoriel plutôt que de</w:t>
      </w:r>
      <w:r>
        <w:t>s</w:t>
      </w:r>
      <w:r w:rsidRPr="00A92CD3">
        <w:t xml:space="preserve"> produits, comme dans les statistiques commerciales conventionnelles. Les TES</w:t>
      </w:r>
      <w:r>
        <w:t xml:space="preserve"> de l'OCDE sont ainsi structuré</w:t>
      </w:r>
      <w:r w:rsidRPr="00A92CD3">
        <w:t>s sur la base secteur-secteur, ce qu</w:t>
      </w:r>
      <w:r>
        <w:t>i</w:t>
      </w:r>
      <w:r w:rsidRPr="00A92CD3">
        <w:t xml:space="preserve"> reflète le fait que la source de données sous-jacente mesure les activités et la production sectorielle. Les relations entre la valeur ajoutée et la production ne sont donc pas affectées par des manipulations statistiques au niveau des produits.</w:t>
      </w:r>
    </w:p>
  </w:footnote>
  <w:footnote w:id="16">
    <w:p w:rsidR="003B0A3E" w:rsidRDefault="003B0A3E" w:rsidP="00617559">
      <w:pPr>
        <w:pStyle w:val="Notedebasdepage"/>
      </w:pPr>
      <w:r>
        <w:rPr>
          <w:rStyle w:val="Appelnotedebasdep"/>
        </w:rPr>
        <w:footnoteRef/>
      </w:r>
      <w:r>
        <w:t xml:space="preserve"> Aucune documentation officielle ne détaille </w:t>
      </w:r>
      <w:r w:rsidR="00337435">
        <w:t xml:space="preserve">(pour l’instant) </w:t>
      </w:r>
      <w:r>
        <w:t>la construction de la version 2015 des tables ICIO.</w:t>
      </w:r>
    </w:p>
  </w:footnote>
  <w:footnote w:id="17">
    <w:p w:rsidR="003B0A3E" w:rsidRDefault="003B0A3E">
      <w:pPr>
        <w:pStyle w:val="Notedebasdepage"/>
      </w:pPr>
      <w:r>
        <w:rPr>
          <w:rStyle w:val="Appelnotedebasdep"/>
        </w:rPr>
        <w:footnoteRef/>
      </w:r>
      <w:r>
        <w:t xml:space="preserve"> Selon l’OCDE, </w:t>
      </w:r>
      <w:r w:rsidRPr="00FC2F44">
        <w:t xml:space="preserve">de nombreuses questions statistiques et méthodologiques restent à résoudre. </w:t>
      </w:r>
      <w:r>
        <w:t>Parmi elles, la qualité de</w:t>
      </w:r>
      <w:r w:rsidRPr="00FC2F44">
        <w:t xml:space="preserve">s estimations </w:t>
      </w:r>
      <w:r>
        <w:t xml:space="preserve">des flux de commerce doit être améliorée, </w:t>
      </w:r>
      <w:r w:rsidRPr="00FC2F44">
        <w:t xml:space="preserve">en particulier </w:t>
      </w:r>
      <w:r>
        <w:t>les</w:t>
      </w:r>
      <w:r w:rsidRPr="00FC2F44">
        <w:t xml:space="preserve"> échanges bilatéraux </w:t>
      </w:r>
      <w:r>
        <w:t>des biens et services intermédiaires.</w:t>
      </w:r>
    </w:p>
  </w:footnote>
  <w:footnote w:id="18">
    <w:p w:rsidR="003B0A3E" w:rsidRDefault="003B0A3E" w:rsidP="00FC0DB9">
      <w:pPr>
        <w:pStyle w:val="Notedebasdepage"/>
      </w:pPr>
      <w:r>
        <w:rPr>
          <w:rStyle w:val="Appelnotedebasdep"/>
        </w:rPr>
        <w:footnoteRef/>
      </w:r>
      <w:r>
        <w:t xml:space="preserve"> </w:t>
      </w:r>
      <w:r w:rsidRPr="00B42865">
        <w:t xml:space="preserve">Les informations </w:t>
      </w:r>
      <w:r>
        <w:t xml:space="preserve">disponibles par l’OCDE </w:t>
      </w:r>
      <w:r w:rsidRPr="00B42865">
        <w:t>sur les traitements effectués dans la transformation des tables harmonisées en t</w:t>
      </w:r>
      <w:r>
        <w:t>ables internationales ne sont ni</w:t>
      </w:r>
      <w:r w:rsidRPr="00B42865">
        <w:t xml:space="preserve"> </w:t>
      </w:r>
      <w:r>
        <w:t xml:space="preserve">précises et ni </w:t>
      </w:r>
      <w:r w:rsidRPr="00B42865">
        <w:t xml:space="preserve">détaillées. Il est </w:t>
      </w:r>
      <w:r>
        <w:t>donc difficile</w:t>
      </w:r>
      <w:r w:rsidRPr="00B42865">
        <w:t xml:space="preserve"> de savoir avec </w:t>
      </w:r>
      <w:r>
        <w:t>exactitude</w:t>
      </w:r>
      <w:r w:rsidRPr="00B42865">
        <w:t xml:space="preserve"> si les flux commerciaux </w:t>
      </w:r>
      <w:r>
        <w:t xml:space="preserve">dans ces tables, et donc dans les données TiVA, </w:t>
      </w:r>
      <w:r w:rsidRPr="00B42865">
        <w:t>sont issus des données des comptes nationaux (TES harmonisés) ou s’ils proviennent des bases de commerce de l’OCDE. Les textes méthodologiques mis à disposition par l’OCDE affirment néanmoins que les flux totaux coïncident avec les données de la comptabilité nationale et indiquent l’utilisation de coefficients issus des données de commerce. Il est donc prob</w:t>
      </w:r>
      <w:r>
        <w:t>able que l’institution utilise une</w:t>
      </w:r>
      <w:r w:rsidRPr="00B42865">
        <w:t xml:space="preserve"> méthodologie </w:t>
      </w:r>
      <w:r>
        <w:t xml:space="preserve">semblable à celle </w:t>
      </w:r>
      <w:r w:rsidRPr="00B42865">
        <w:t xml:space="preserve">employée par WIOD et calcule les flux bilatéraux à partir des données des comptes nationaux avec les coefficients </w:t>
      </w:r>
      <w:r>
        <w:t>issus</w:t>
      </w:r>
      <w:r w:rsidRPr="00B42865">
        <w:t xml:space="preserve"> des bases de données du commerce international.</w:t>
      </w:r>
    </w:p>
  </w:footnote>
  <w:footnote w:id="19">
    <w:p w:rsidR="003B0A3E" w:rsidRDefault="003B0A3E" w:rsidP="00FC0DB9">
      <w:pPr>
        <w:pStyle w:val="Notedebasdepage"/>
      </w:pPr>
      <w:r>
        <w:rPr>
          <w:rStyle w:val="Appelnotedebasdep"/>
        </w:rPr>
        <w:footnoteRef/>
      </w:r>
      <w:r>
        <w:t xml:space="preserve"> </w:t>
      </w:r>
      <w:r w:rsidRPr="003A1C14">
        <w:t xml:space="preserve">Cette base de données rassemble les statistiques sur les échanges internationaux de service par pays et par catégorie de service. Dans la mesure où les pays les rendent disponibles, les données sont détaillées par type de service selon la classification de l'EBOPS. Les données se réfèrent aux </w:t>
      </w:r>
      <w:r>
        <w:t>échanges entre résidents et non-</w:t>
      </w:r>
      <w:r w:rsidRPr="003A1C14">
        <w:t>résidents et sont présentées selon les recommandations du Manuel des statistiques du commerce international des services et la classification élargie des services de la balance des paiements (</w:t>
      </w:r>
      <w:r>
        <w:t xml:space="preserve">version </w:t>
      </w:r>
      <w:r w:rsidRPr="003A1C14">
        <w:t>2010) qui est cohérente avec la balance des paiements</w:t>
      </w:r>
      <w:r>
        <w:t>,</w:t>
      </w:r>
      <w:r w:rsidRPr="003A1C14">
        <w:t xml:space="preserve"> mais plus détaillée.</w:t>
      </w:r>
    </w:p>
  </w:footnote>
  <w:footnote w:id="20">
    <w:p w:rsidR="003B0A3E" w:rsidRDefault="003B0A3E">
      <w:pPr>
        <w:pStyle w:val="Notedebasdepage"/>
      </w:pPr>
      <w:r>
        <w:rPr>
          <w:rStyle w:val="Appelnotedebasdep"/>
        </w:rPr>
        <w:footnoteRef/>
      </w:r>
      <w:r>
        <w:t xml:space="preserve"> Les tableaux d’importation sont normalement fournis par les INS. Pour les pays manquants, ils sont estimés par l’OCDE.</w:t>
      </w:r>
    </w:p>
  </w:footnote>
  <w:footnote w:id="21">
    <w:p w:rsidR="003B0A3E" w:rsidRDefault="003B0A3E" w:rsidP="00FC0DB9">
      <w:pPr>
        <w:pStyle w:val="Notedebasdepage"/>
      </w:pPr>
      <w:r>
        <w:rPr>
          <w:rStyle w:val="Appelnotedebasdep"/>
        </w:rPr>
        <w:footnoteRef/>
      </w:r>
      <w:r>
        <w:t xml:space="preserve"> </w:t>
      </w:r>
      <w:r w:rsidRPr="00713BFF">
        <w:t xml:space="preserve">L’OCDE et l’OMC travaillent pour améliorer cette hypothèse. Elle est </w:t>
      </w:r>
      <w:r>
        <w:t>généralement accepté</w:t>
      </w:r>
      <w:r w:rsidRPr="00713BFF">
        <w:t xml:space="preserve">e pour les pays industrialisés, </w:t>
      </w:r>
      <w:r>
        <w:t>où il y a peu de différence</w:t>
      </w:r>
      <w:r w:rsidRPr="00713BFF">
        <w:t xml:space="preserve"> entre ce qui est produit pour l’exportati</w:t>
      </w:r>
      <w:r>
        <w:t>on et pour la consommation</w:t>
      </w:r>
      <w:r w:rsidRPr="00713BFF">
        <w:t xml:space="preserve"> intérieur</w:t>
      </w:r>
      <w:r>
        <w:t>e</w:t>
      </w:r>
      <w:r w:rsidRPr="00713BFF">
        <w:t xml:space="preserve">. L’hypothèse est cependant plus restrictive pour les pays en développement, puisque le contenu en importations des exportations </w:t>
      </w:r>
      <w:r>
        <w:t xml:space="preserve">dans ces pays </w:t>
      </w:r>
      <w:r w:rsidRPr="00713BFF">
        <w:t xml:space="preserve">est </w:t>
      </w:r>
      <w:r>
        <w:t>normalement</w:t>
      </w:r>
      <w:r w:rsidRPr="00713BFF">
        <w:t xml:space="preserve"> plus élevé que le contenu en importations des produits destinés au marché domestique.</w:t>
      </w:r>
    </w:p>
  </w:footnote>
  <w:footnote w:id="22">
    <w:p w:rsidR="003B0A3E" w:rsidRDefault="003B0A3E" w:rsidP="001475C6">
      <w:pPr>
        <w:pStyle w:val="Notedebasdepage"/>
      </w:pPr>
      <w:r>
        <w:rPr>
          <w:rStyle w:val="Appelnotedebasdep"/>
        </w:rPr>
        <w:footnoteRef/>
      </w:r>
      <w:r>
        <w:t xml:space="preserve"> Plusieurs facteurs contribuent à cet écart (INSEE, 2014). D’abord, les concepts de la comptabilité nationale diffèrent légèrement de ceux de la balance des paiements, et l’INSEE utilise d’autres sources pour certaines opérations. D’autres dif</w:t>
      </w:r>
      <w:r w:rsidR="00E723F7">
        <w:t>férences sont liées au moment de l’</w:t>
      </w:r>
      <w:r>
        <w:t>élaboration des données. Par exemple, seuls les comptes de revenus et de transferts correspondent aux chiffres publiés dans le rapport annuel 2012.</w:t>
      </w:r>
    </w:p>
    <w:p w:rsidR="003B0A3E" w:rsidRDefault="003B0A3E" w:rsidP="001475C6">
      <w:pPr>
        <w:pStyle w:val="Notedebasdepage"/>
      </w:pPr>
      <w:r>
        <w:t>Dans le détail, l’écart dans</w:t>
      </w:r>
      <w:r w:rsidR="00E723F7">
        <w:t xml:space="preserve"> les</w:t>
      </w:r>
      <w:r>
        <w:t xml:space="preserve"> échanges extérieurs de biens provient d’un contour des biens différent entre balance des paiements et le compte du reste du monde, notamment pour l’avitaillement. L’INSEE ne reprend pas les chiffres de la Banque de France pour cette rubrique. Pour les échanges de services, le compte 2010 a été établi à partir de premières données de balance, avant leur finalisation. Des révisions importantes entre les deux versions de l’enquête ECEIS n’ont pas pu être anticipées dans la construction des données par l’INSEE. Pour le reste, les écarts proviennent notamment des différences entre les sources pour les données des services des administrations publiques ou le transport spatial. L’écart sur les transferts courants résulte aussi de l’utilisation d’autres sources d’information (pour les impôts, subventions, transferts courants de coopération internationales et les transferts versés par l’État). L’écart du solde des revenus de la propriété s’explique par des différences de source pour les revenus de la propriété attribués aux assurés, les impôts sur le revenu des valeurs mobilières, les revenus des organismes de placement collectif et les intérêts sur crédit-bail. Finalement, l’écart sur les chiffres des salaires résulte d’une anticipation par le compte du reste du monde d’une révision à venir des séries de salaires avant 2011, la Banque de France ayant réestimé ces montants sur les années 2011 et suivantes.</w:t>
      </w:r>
    </w:p>
  </w:footnote>
  <w:footnote w:id="23">
    <w:p w:rsidR="003B0A3E" w:rsidRDefault="003B0A3E" w:rsidP="00513A57">
      <w:pPr>
        <w:pStyle w:val="Notedebasdepage"/>
      </w:pPr>
      <w:r>
        <w:rPr>
          <w:rStyle w:val="Appelnotedebasdep"/>
        </w:rPr>
        <w:footnoteRef/>
      </w:r>
      <w:r>
        <w:t xml:space="preserve"> Les versions exactes des données des comptes nationaux utilisées dans la construction des tableaux ne sont pas indiquées par les deux projets.</w:t>
      </w:r>
    </w:p>
  </w:footnote>
  <w:footnote w:id="24">
    <w:p w:rsidR="003B0A3E" w:rsidRDefault="003B0A3E">
      <w:pPr>
        <w:pStyle w:val="Notedebasdepage"/>
      </w:pPr>
      <w:r>
        <w:rPr>
          <w:rStyle w:val="Appelnotedebasdep"/>
        </w:rPr>
        <w:footnoteRef/>
      </w:r>
      <w:r>
        <w:t xml:space="preserve"> </w:t>
      </w:r>
      <w:r w:rsidRPr="00E60103">
        <w:t xml:space="preserve">Les exportations, évaluées en </w:t>
      </w:r>
      <w:r>
        <w:t>FAB</w:t>
      </w:r>
      <w:r w:rsidRPr="00E60103">
        <w:t xml:space="preserve">, peuvent inclure une marge de distribution qui reflète la différence entre les prix en sortie d'usine et les prix à la frontière du pays exportateur. Cette marge est retirée du prix </w:t>
      </w:r>
      <w:r>
        <w:t>FAB</w:t>
      </w:r>
      <w:r w:rsidRPr="00E60103">
        <w:t xml:space="preserve"> par l’OCDE et allouée à la production (donc aux exportations directes) du secteur</w:t>
      </w:r>
      <w:r w:rsidR="00B015B1">
        <w:t xml:space="preserve"> « Commerce, réparation, hôtels et restaurants »</w:t>
      </w:r>
      <w:r w:rsidRPr="00E60103">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2F4"/>
    <w:multiLevelType w:val="multilevel"/>
    <w:tmpl w:val="524228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DF12E6"/>
    <w:multiLevelType w:val="hybridMultilevel"/>
    <w:tmpl w:val="B3741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0345DC5"/>
    <w:multiLevelType w:val="multilevel"/>
    <w:tmpl w:val="008A04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A0412E5"/>
    <w:multiLevelType w:val="multilevel"/>
    <w:tmpl w:val="524228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B681F42"/>
    <w:multiLevelType w:val="multilevel"/>
    <w:tmpl w:val="524228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E6"/>
    <w:rsid w:val="000041D8"/>
    <w:rsid w:val="00007DB0"/>
    <w:rsid w:val="0001009F"/>
    <w:rsid w:val="00010CFF"/>
    <w:rsid w:val="00014029"/>
    <w:rsid w:val="00031EB6"/>
    <w:rsid w:val="00040AD8"/>
    <w:rsid w:val="00042E15"/>
    <w:rsid w:val="00053146"/>
    <w:rsid w:val="0006090B"/>
    <w:rsid w:val="00070179"/>
    <w:rsid w:val="00070582"/>
    <w:rsid w:val="00071783"/>
    <w:rsid w:val="0007353F"/>
    <w:rsid w:val="000813E1"/>
    <w:rsid w:val="00081C5B"/>
    <w:rsid w:val="000843BD"/>
    <w:rsid w:val="000A008C"/>
    <w:rsid w:val="000A5411"/>
    <w:rsid w:val="000A5670"/>
    <w:rsid w:val="000A7573"/>
    <w:rsid w:val="000B5316"/>
    <w:rsid w:val="000C3C8E"/>
    <w:rsid w:val="000E1F82"/>
    <w:rsid w:val="000E2B5D"/>
    <w:rsid w:val="000E4B31"/>
    <w:rsid w:val="000E7764"/>
    <w:rsid w:val="001042AC"/>
    <w:rsid w:val="00112ACA"/>
    <w:rsid w:val="001132A9"/>
    <w:rsid w:val="00115816"/>
    <w:rsid w:val="0012622D"/>
    <w:rsid w:val="00131865"/>
    <w:rsid w:val="001358E9"/>
    <w:rsid w:val="0013761F"/>
    <w:rsid w:val="00141513"/>
    <w:rsid w:val="001447CF"/>
    <w:rsid w:val="00144D73"/>
    <w:rsid w:val="001459F0"/>
    <w:rsid w:val="001475C6"/>
    <w:rsid w:val="00154F59"/>
    <w:rsid w:val="001606C9"/>
    <w:rsid w:val="0017459D"/>
    <w:rsid w:val="00174A13"/>
    <w:rsid w:val="001858DF"/>
    <w:rsid w:val="001A1465"/>
    <w:rsid w:val="001A1A07"/>
    <w:rsid w:val="001A47B0"/>
    <w:rsid w:val="001A51EE"/>
    <w:rsid w:val="001B6645"/>
    <w:rsid w:val="001C1CD2"/>
    <w:rsid w:val="001C5939"/>
    <w:rsid w:val="001E231D"/>
    <w:rsid w:val="001E68BC"/>
    <w:rsid w:val="001F3FA1"/>
    <w:rsid w:val="00205572"/>
    <w:rsid w:val="00205AEF"/>
    <w:rsid w:val="00206709"/>
    <w:rsid w:val="00207BD9"/>
    <w:rsid w:val="00216098"/>
    <w:rsid w:val="0023145F"/>
    <w:rsid w:val="00233ADE"/>
    <w:rsid w:val="002356DF"/>
    <w:rsid w:val="002442D5"/>
    <w:rsid w:val="00261990"/>
    <w:rsid w:val="00264768"/>
    <w:rsid w:val="00270A99"/>
    <w:rsid w:val="00272592"/>
    <w:rsid w:val="00277F12"/>
    <w:rsid w:val="0028607E"/>
    <w:rsid w:val="002925C4"/>
    <w:rsid w:val="00296EA9"/>
    <w:rsid w:val="002A0F01"/>
    <w:rsid w:val="002A465E"/>
    <w:rsid w:val="002A52F3"/>
    <w:rsid w:val="002A680F"/>
    <w:rsid w:val="002D15C9"/>
    <w:rsid w:val="002D4F2D"/>
    <w:rsid w:val="002D7626"/>
    <w:rsid w:val="002D7864"/>
    <w:rsid w:val="002E0443"/>
    <w:rsid w:val="002E7297"/>
    <w:rsid w:val="002F24D5"/>
    <w:rsid w:val="002F2FC2"/>
    <w:rsid w:val="002F6292"/>
    <w:rsid w:val="00300722"/>
    <w:rsid w:val="00305229"/>
    <w:rsid w:val="0031035F"/>
    <w:rsid w:val="00315E65"/>
    <w:rsid w:val="00316DE6"/>
    <w:rsid w:val="003219A6"/>
    <w:rsid w:val="00322EDD"/>
    <w:rsid w:val="0033456B"/>
    <w:rsid w:val="00337435"/>
    <w:rsid w:val="00340632"/>
    <w:rsid w:val="0034251F"/>
    <w:rsid w:val="00347143"/>
    <w:rsid w:val="00360E5A"/>
    <w:rsid w:val="00361F52"/>
    <w:rsid w:val="00371EC8"/>
    <w:rsid w:val="00383213"/>
    <w:rsid w:val="003847DA"/>
    <w:rsid w:val="003A1C14"/>
    <w:rsid w:val="003A2AF8"/>
    <w:rsid w:val="003B0A3E"/>
    <w:rsid w:val="003B3B20"/>
    <w:rsid w:val="003B4159"/>
    <w:rsid w:val="003C4169"/>
    <w:rsid w:val="003C64B8"/>
    <w:rsid w:val="003C6ABE"/>
    <w:rsid w:val="003E1CA7"/>
    <w:rsid w:val="003E28A4"/>
    <w:rsid w:val="003E3964"/>
    <w:rsid w:val="003F176C"/>
    <w:rsid w:val="00402DCE"/>
    <w:rsid w:val="004036EB"/>
    <w:rsid w:val="0040485A"/>
    <w:rsid w:val="0040494A"/>
    <w:rsid w:val="004066BE"/>
    <w:rsid w:val="004067D6"/>
    <w:rsid w:val="00406BDE"/>
    <w:rsid w:val="00425B6D"/>
    <w:rsid w:val="00433D02"/>
    <w:rsid w:val="00434DD2"/>
    <w:rsid w:val="00435892"/>
    <w:rsid w:val="00435BB3"/>
    <w:rsid w:val="0044054E"/>
    <w:rsid w:val="004443EE"/>
    <w:rsid w:val="00445D8B"/>
    <w:rsid w:val="00445EF5"/>
    <w:rsid w:val="00451C4A"/>
    <w:rsid w:val="00452E1A"/>
    <w:rsid w:val="004869B2"/>
    <w:rsid w:val="0048720C"/>
    <w:rsid w:val="00490A46"/>
    <w:rsid w:val="00493781"/>
    <w:rsid w:val="004955A0"/>
    <w:rsid w:val="004A2093"/>
    <w:rsid w:val="004B00D1"/>
    <w:rsid w:val="004B3716"/>
    <w:rsid w:val="0050590E"/>
    <w:rsid w:val="00506471"/>
    <w:rsid w:val="0051377F"/>
    <w:rsid w:val="00513A57"/>
    <w:rsid w:val="0051447A"/>
    <w:rsid w:val="00522170"/>
    <w:rsid w:val="00530643"/>
    <w:rsid w:val="00536A33"/>
    <w:rsid w:val="005456E4"/>
    <w:rsid w:val="00550E6A"/>
    <w:rsid w:val="005514A6"/>
    <w:rsid w:val="0055685E"/>
    <w:rsid w:val="005618B8"/>
    <w:rsid w:val="0056596C"/>
    <w:rsid w:val="00574109"/>
    <w:rsid w:val="00582D1A"/>
    <w:rsid w:val="00585399"/>
    <w:rsid w:val="0059094C"/>
    <w:rsid w:val="005A0AC9"/>
    <w:rsid w:val="005A31BF"/>
    <w:rsid w:val="005A71F9"/>
    <w:rsid w:val="005A743F"/>
    <w:rsid w:val="005B08C9"/>
    <w:rsid w:val="005C20C8"/>
    <w:rsid w:val="005D1F95"/>
    <w:rsid w:val="00605315"/>
    <w:rsid w:val="00611516"/>
    <w:rsid w:val="006134E5"/>
    <w:rsid w:val="0061699C"/>
    <w:rsid w:val="00617559"/>
    <w:rsid w:val="00624484"/>
    <w:rsid w:val="00625898"/>
    <w:rsid w:val="0062610C"/>
    <w:rsid w:val="006355E4"/>
    <w:rsid w:val="00637AE6"/>
    <w:rsid w:val="00647FFB"/>
    <w:rsid w:val="0065040E"/>
    <w:rsid w:val="00662721"/>
    <w:rsid w:val="00662A90"/>
    <w:rsid w:val="00665654"/>
    <w:rsid w:val="00672F5B"/>
    <w:rsid w:val="0067775E"/>
    <w:rsid w:val="00677D4D"/>
    <w:rsid w:val="00683872"/>
    <w:rsid w:val="00683BEC"/>
    <w:rsid w:val="006A3669"/>
    <w:rsid w:val="006A476A"/>
    <w:rsid w:val="006C2277"/>
    <w:rsid w:val="006C32E9"/>
    <w:rsid w:val="006D1E68"/>
    <w:rsid w:val="006D5F46"/>
    <w:rsid w:val="006D776D"/>
    <w:rsid w:val="006E0FF2"/>
    <w:rsid w:val="006E192C"/>
    <w:rsid w:val="006E7AA0"/>
    <w:rsid w:val="006F12BD"/>
    <w:rsid w:val="00703F40"/>
    <w:rsid w:val="00705CD8"/>
    <w:rsid w:val="00713BFF"/>
    <w:rsid w:val="00714362"/>
    <w:rsid w:val="00714D14"/>
    <w:rsid w:val="00720499"/>
    <w:rsid w:val="007210C1"/>
    <w:rsid w:val="007259FA"/>
    <w:rsid w:val="007443A7"/>
    <w:rsid w:val="00751207"/>
    <w:rsid w:val="00761B94"/>
    <w:rsid w:val="007718C1"/>
    <w:rsid w:val="007746B2"/>
    <w:rsid w:val="007751CA"/>
    <w:rsid w:val="00777D93"/>
    <w:rsid w:val="0078149D"/>
    <w:rsid w:val="00786A1B"/>
    <w:rsid w:val="007921AF"/>
    <w:rsid w:val="007A7B08"/>
    <w:rsid w:val="007B3E76"/>
    <w:rsid w:val="007D68F5"/>
    <w:rsid w:val="007E536F"/>
    <w:rsid w:val="007E6E75"/>
    <w:rsid w:val="0080299A"/>
    <w:rsid w:val="00811846"/>
    <w:rsid w:val="00822F5D"/>
    <w:rsid w:val="00835767"/>
    <w:rsid w:val="00835D1A"/>
    <w:rsid w:val="00840A05"/>
    <w:rsid w:val="00840A06"/>
    <w:rsid w:val="0084157C"/>
    <w:rsid w:val="00850C0D"/>
    <w:rsid w:val="0085137C"/>
    <w:rsid w:val="00851D5C"/>
    <w:rsid w:val="00852521"/>
    <w:rsid w:val="00853EAE"/>
    <w:rsid w:val="0086065D"/>
    <w:rsid w:val="00867FEA"/>
    <w:rsid w:val="008762BA"/>
    <w:rsid w:val="00876A17"/>
    <w:rsid w:val="00886751"/>
    <w:rsid w:val="008A0005"/>
    <w:rsid w:val="008A2820"/>
    <w:rsid w:val="008A48D1"/>
    <w:rsid w:val="008A7F4C"/>
    <w:rsid w:val="008C0B4F"/>
    <w:rsid w:val="008D7870"/>
    <w:rsid w:val="008E3724"/>
    <w:rsid w:val="008F7917"/>
    <w:rsid w:val="00916E94"/>
    <w:rsid w:val="009339BB"/>
    <w:rsid w:val="00946668"/>
    <w:rsid w:val="0095311B"/>
    <w:rsid w:val="00962D87"/>
    <w:rsid w:val="0098002A"/>
    <w:rsid w:val="00985B36"/>
    <w:rsid w:val="00985DA1"/>
    <w:rsid w:val="00993F99"/>
    <w:rsid w:val="00996BA0"/>
    <w:rsid w:val="009A0C25"/>
    <w:rsid w:val="009B144D"/>
    <w:rsid w:val="009C0092"/>
    <w:rsid w:val="009C1797"/>
    <w:rsid w:val="009D73F9"/>
    <w:rsid w:val="009D7FA0"/>
    <w:rsid w:val="009E5C27"/>
    <w:rsid w:val="009E6CC6"/>
    <w:rsid w:val="009F5673"/>
    <w:rsid w:val="009F60A2"/>
    <w:rsid w:val="009F71F0"/>
    <w:rsid w:val="00A01FCF"/>
    <w:rsid w:val="00A02526"/>
    <w:rsid w:val="00A06085"/>
    <w:rsid w:val="00A32C77"/>
    <w:rsid w:val="00A32C94"/>
    <w:rsid w:val="00A36C79"/>
    <w:rsid w:val="00A40377"/>
    <w:rsid w:val="00A50A40"/>
    <w:rsid w:val="00A57C84"/>
    <w:rsid w:val="00A60DB4"/>
    <w:rsid w:val="00A62336"/>
    <w:rsid w:val="00A6566A"/>
    <w:rsid w:val="00A66B7C"/>
    <w:rsid w:val="00A6794F"/>
    <w:rsid w:val="00A776B0"/>
    <w:rsid w:val="00A82550"/>
    <w:rsid w:val="00A83D1D"/>
    <w:rsid w:val="00A83D3C"/>
    <w:rsid w:val="00A92CD3"/>
    <w:rsid w:val="00A96D49"/>
    <w:rsid w:val="00AA37EC"/>
    <w:rsid w:val="00AA4E51"/>
    <w:rsid w:val="00AB1041"/>
    <w:rsid w:val="00AC2A8C"/>
    <w:rsid w:val="00AC38CF"/>
    <w:rsid w:val="00AD59CE"/>
    <w:rsid w:val="00AE1970"/>
    <w:rsid w:val="00AE5996"/>
    <w:rsid w:val="00AE785F"/>
    <w:rsid w:val="00AF7825"/>
    <w:rsid w:val="00B015B1"/>
    <w:rsid w:val="00B116B5"/>
    <w:rsid w:val="00B12288"/>
    <w:rsid w:val="00B1308B"/>
    <w:rsid w:val="00B26993"/>
    <w:rsid w:val="00B26E47"/>
    <w:rsid w:val="00B27152"/>
    <w:rsid w:val="00B36268"/>
    <w:rsid w:val="00B404E8"/>
    <w:rsid w:val="00B411EF"/>
    <w:rsid w:val="00B42865"/>
    <w:rsid w:val="00B60070"/>
    <w:rsid w:val="00B669EE"/>
    <w:rsid w:val="00B73E8D"/>
    <w:rsid w:val="00B749AE"/>
    <w:rsid w:val="00B814A5"/>
    <w:rsid w:val="00B85408"/>
    <w:rsid w:val="00B87BBB"/>
    <w:rsid w:val="00B94981"/>
    <w:rsid w:val="00B95110"/>
    <w:rsid w:val="00BA4257"/>
    <w:rsid w:val="00BA6A9E"/>
    <w:rsid w:val="00BB1939"/>
    <w:rsid w:val="00BC061A"/>
    <w:rsid w:val="00BC7B28"/>
    <w:rsid w:val="00BD460A"/>
    <w:rsid w:val="00BF6B34"/>
    <w:rsid w:val="00C01ECC"/>
    <w:rsid w:val="00C02E0F"/>
    <w:rsid w:val="00C05AF4"/>
    <w:rsid w:val="00C16AF7"/>
    <w:rsid w:val="00C17DA3"/>
    <w:rsid w:val="00C27E7E"/>
    <w:rsid w:val="00C30A9B"/>
    <w:rsid w:val="00C60552"/>
    <w:rsid w:val="00C6605F"/>
    <w:rsid w:val="00C8119D"/>
    <w:rsid w:val="00C90FD1"/>
    <w:rsid w:val="00C92A34"/>
    <w:rsid w:val="00CA291F"/>
    <w:rsid w:val="00CA4B55"/>
    <w:rsid w:val="00CA646F"/>
    <w:rsid w:val="00CA64EA"/>
    <w:rsid w:val="00CB2C15"/>
    <w:rsid w:val="00CD52AA"/>
    <w:rsid w:val="00CE4187"/>
    <w:rsid w:val="00D01234"/>
    <w:rsid w:val="00D25386"/>
    <w:rsid w:val="00D2575F"/>
    <w:rsid w:val="00D27A3F"/>
    <w:rsid w:val="00D27E19"/>
    <w:rsid w:val="00D31971"/>
    <w:rsid w:val="00D332AF"/>
    <w:rsid w:val="00D33387"/>
    <w:rsid w:val="00D35AC1"/>
    <w:rsid w:val="00D409BF"/>
    <w:rsid w:val="00D42C1C"/>
    <w:rsid w:val="00D56117"/>
    <w:rsid w:val="00D56506"/>
    <w:rsid w:val="00D658E9"/>
    <w:rsid w:val="00D675F8"/>
    <w:rsid w:val="00D8096A"/>
    <w:rsid w:val="00D81E12"/>
    <w:rsid w:val="00D86AFE"/>
    <w:rsid w:val="00D9445F"/>
    <w:rsid w:val="00DA09DD"/>
    <w:rsid w:val="00DA18AC"/>
    <w:rsid w:val="00DA21B4"/>
    <w:rsid w:val="00DA5F30"/>
    <w:rsid w:val="00DC78AE"/>
    <w:rsid w:val="00DD5CC7"/>
    <w:rsid w:val="00DD76F7"/>
    <w:rsid w:val="00DE0E8B"/>
    <w:rsid w:val="00DE1BF4"/>
    <w:rsid w:val="00DF7A40"/>
    <w:rsid w:val="00E0100B"/>
    <w:rsid w:val="00E01694"/>
    <w:rsid w:val="00E01EB5"/>
    <w:rsid w:val="00E02D18"/>
    <w:rsid w:val="00E376A4"/>
    <w:rsid w:val="00E5215D"/>
    <w:rsid w:val="00E54586"/>
    <w:rsid w:val="00E60103"/>
    <w:rsid w:val="00E63D7D"/>
    <w:rsid w:val="00E723F7"/>
    <w:rsid w:val="00E75D4C"/>
    <w:rsid w:val="00E772B6"/>
    <w:rsid w:val="00E775D7"/>
    <w:rsid w:val="00E81E90"/>
    <w:rsid w:val="00E93663"/>
    <w:rsid w:val="00E96D83"/>
    <w:rsid w:val="00EA016D"/>
    <w:rsid w:val="00EE480B"/>
    <w:rsid w:val="00EE59C3"/>
    <w:rsid w:val="00EE5C6B"/>
    <w:rsid w:val="00EF15C7"/>
    <w:rsid w:val="00EF5312"/>
    <w:rsid w:val="00F03B80"/>
    <w:rsid w:val="00F12EB9"/>
    <w:rsid w:val="00F14A7D"/>
    <w:rsid w:val="00F155C3"/>
    <w:rsid w:val="00F24F28"/>
    <w:rsid w:val="00F27CC4"/>
    <w:rsid w:val="00F3579D"/>
    <w:rsid w:val="00F36D57"/>
    <w:rsid w:val="00F40EDC"/>
    <w:rsid w:val="00F42637"/>
    <w:rsid w:val="00F46095"/>
    <w:rsid w:val="00F50670"/>
    <w:rsid w:val="00F523DE"/>
    <w:rsid w:val="00F665AD"/>
    <w:rsid w:val="00F747CF"/>
    <w:rsid w:val="00F7721E"/>
    <w:rsid w:val="00F77A00"/>
    <w:rsid w:val="00F85006"/>
    <w:rsid w:val="00F96C2F"/>
    <w:rsid w:val="00FA1E91"/>
    <w:rsid w:val="00FA7D1B"/>
    <w:rsid w:val="00FB5E5F"/>
    <w:rsid w:val="00FC0DB9"/>
    <w:rsid w:val="00FC2F44"/>
    <w:rsid w:val="00FC4107"/>
    <w:rsid w:val="00FC42EA"/>
    <w:rsid w:val="00FC67D6"/>
    <w:rsid w:val="00FE2759"/>
    <w:rsid w:val="00FE51AF"/>
    <w:rsid w:val="00FE7C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A0"/>
    <w:pPr>
      <w:spacing w:after="120" w:line="240" w:lineRule="auto"/>
      <w:jc w:val="both"/>
    </w:pPr>
    <w:rPr>
      <w:rFonts w:ascii="Times New Roman" w:hAnsi="Times New Roman" w:cs="Times New Roman"/>
      <w:szCs w:val="24"/>
      <w:lang w:eastAsia="fr-FR"/>
    </w:rPr>
  </w:style>
  <w:style w:type="paragraph" w:styleId="Titre1">
    <w:name w:val="heading 1"/>
    <w:basedOn w:val="Normal"/>
    <w:next w:val="Normal"/>
    <w:link w:val="Titre1Car"/>
    <w:uiPriority w:val="9"/>
    <w:qFormat/>
    <w:rsid w:val="00F50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5408"/>
    <w:pPr>
      <w:ind w:left="737"/>
      <w:contextualSpacing/>
    </w:pPr>
  </w:style>
  <w:style w:type="paragraph" w:styleId="Notedebasdepage">
    <w:name w:val="footnote text"/>
    <w:basedOn w:val="Normal"/>
    <w:link w:val="NotedebasdepageCar"/>
    <w:uiPriority w:val="99"/>
    <w:semiHidden/>
    <w:unhideWhenUsed/>
    <w:rsid w:val="00665654"/>
    <w:pPr>
      <w:spacing w:after="0"/>
    </w:pPr>
    <w:rPr>
      <w:sz w:val="20"/>
      <w:szCs w:val="20"/>
    </w:rPr>
  </w:style>
  <w:style w:type="character" w:customStyle="1" w:styleId="NotedebasdepageCar">
    <w:name w:val="Note de bas de page Car"/>
    <w:basedOn w:val="Policepardfaut"/>
    <w:link w:val="Notedebasdepage"/>
    <w:uiPriority w:val="99"/>
    <w:semiHidden/>
    <w:rsid w:val="00665654"/>
    <w:rPr>
      <w:rFonts w:ascii="Times New Roman" w:hAnsi="Times New Roman" w:cs="Times New Roman"/>
      <w:sz w:val="20"/>
      <w:szCs w:val="20"/>
      <w:lang w:eastAsia="fr-FR"/>
    </w:rPr>
  </w:style>
  <w:style w:type="character" w:styleId="Appelnotedebasdep">
    <w:name w:val="footnote reference"/>
    <w:basedOn w:val="Policepardfaut"/>
    <w:uiPriority w:val="99"/>
    <w:semiHidden/>
    <w:unhideWhenUsed/>
    <w:rsid w:val="00665654"/>
    <w:rPr>
      <w:vertAlign w:val="superscript"/>
    </w:rPr>
  </w:style>
  <w:style w:type="paragraph" w:styleId="Textedebulles">
    <w:name w:val="Balloon Text"/>
    <w:basedOn w:val="Normal"/>
    <w:link w:val="TextedebullesCar"/>
    <w:uiPriority w:val="99"/>
    <w:semiHidden/>
    <w:unhideWhenUsed/>
    <w:rsid w:val="00665654"/>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65654"/>
    <w:rPr>
      <w:rFonts w:ascii="Tahoma" w:hAnsi="Tahoma" w:cs="Tahoma"/>
      <w:sz w:val="16"/>
      <w:szCs w:val="16"/>
      <w:lang w:eastAsia="fr-FR"/>
    </w:rPr>
  </w:style>
  <w:style w:type="paragraph" w:styleId="En-tte">
    <w:name w:val="header"/>
    <w:basedOn w:val="Normal"/>
    <w:link w:val="En-tteCar"/>
    <w:uiPriority w:val="99"/>
    <w:unhideWhenUsed/>
    <w:rsid w:val="005618B8"/>
    <w:pPr>
      <w:tabs>
        <w:tab w:val="center" w:pos="4536"/>
        <w:tab w:val="right" w:pos="9072"/>
      </w:tabs>
      <w:spacing w:after="0"/>
    </w:pPr>
  </w:style>
  <w:style w:type="character" w:customStyle="1" w:styleId="En-tteCar">
    <w:name w:val="En-tête Car"/>
    <w:basedOn w:val="Policepardfaut"/>
    <w:link w:val="En-tte"/>
    <w:uiPriority w:val="99"/>
    <w:rsid w:val="005618B8"/>
    <w:rPr>
      <w:rFonts w:ascii="Times New Roman" w:hAnsi="Times New Roman" w:cs="Times New Roman"/>
      <w:sz w:val="24"/>
      <w:szCs w:val="24"/>
      <w:lang w:eastAsia="fr-FR"/>
    </w:rPr>
  </w:style>
  <w:style w:type="paragraph" w:styleId="Pieddepage">
    <w:name w:val="footer"/>
    <w:basedOn w:val="Normal"/>
    <w:link w:val="PieddepageCar"/>
    <w:uiPriority w:val="99"/>
    <w:unhideWhenUsed/>
    <w:rsid w:val="005618B8"/>
    <w:pPr>
      <w:tabs>
        <w:tab w:val="center" w:pos="4536"/>
        <w:tab w:val="right" w:pos="9072"/>
      </w:tabs>
      <w:spacing w:after="0"/>
    </w:pPr>
  </w:style>
  <w:style w:type="character" w:customStyle="1" w:styleId="PieddepageCar">
    <w:name w:val="Pied de page Car"/>
    <w:basedOn w:val="Policepardfaut"/>
    <w:link w:val="Pieddepage"/>
    <w:uiPriority w:val="99"/>
    <w:rsid w:val="005618B8"/>
    <w:rPr>
      <w:rFonts w:ascii="Times New Roman" w:hAnsi="Times New Roman" w:cs="Times New Roman"/>
      <w:sz w:val="24"/>
      <w:szCs w:val="24"/>
      <w:lang w:eastAsia="fr-FR"/>
    </w:rPr>
  </w:style>
  <w:style w:type="character" w:customStyle="1" w:styleId="hps">
    <w:name w:val="hps"/>
    <w:basedOn w:val="Policepardfaut"/>
    <w:rsid w:val="0006090B"/>
  </w:style>
  <w:style w:type="character" w:styleId="Lienhypertexte">
    <w:name w:val="Hyperlink"/>
    <w:basedOn w:val="Policepardfaut"/>
    <w:uiPriority w:val="99"/>
    <w:unhideWhenUsed/>
    <w:rsid w:val="0051377F"/>
    <w:rPr>
      <w:color w:val="0000FF" w:themeColor="hyperlink"/>
      <w:u w:val="single"/>
    </w:rPr>
  </w:style>
  <w:style w:type="character" w:customStyle="1" w:styleId="Titre1Car">
    <w:name w:val="Titre 1 Car"/>
    <w:basedOn w:val="Policepardfaut"/>
    <w:link w:val="Titre1"/>
    <w:uiPriority w:val="9"/>
    <w:rsid w:val="00F50670"/>
    <w:rPr>
      <w:rFonts w:asciiTheme="majorHAnsi" w:eastAsiaTheme="majorEastAsia" w:hAnsiTheme="majorHAnsi" w:cstheme="majorBidi"/>
      <w:b/>
      <w:bCs/>
      <w:color w:val="365F91" w:themeColor="accent1" w:themeShade="BF"/>
      <w:sz w:val="28"/>
      <w:szCs w:val="2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A0"/>
    <w:pPr>
      <w:spacing w:after="120" w:line="240" w:lineRule="auto"/>
      <w:jc w:val="both"/>
    </w:pPr>
    <w:rPr>
      <w:rFonts w:ascii="Times New Roman" w:hAnsi="Times New Roman" w:cs="Times New Roman"/>
      <w:szCs w:val="24"/>
      <w:lang w:eastAsia="fr-FR"/>
    </w:rPr>
  </w:style>
  <w:style w:type="paragraph" w:styleId="Titre1">
    <w:name w:val="heading 1"/>
    <w:basedOn w:val="Normal"/>
    <w:next w:val="Normal"/>
    <w:link w:val="Titre1Car"/>
    <w:uiPriority w:val="9"/>
    <w:qFormat/>
    <w:rsid w:val="00F50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5408"/>
    <w:pPr>
      <w:ind w:left="737"/>
      <w:contextualSpacing/>
    </w:pPr>
  </w:style>
  <w:style w:type="paragraph" w:styleId="Notedebasdepage">
    <w:name w:val="footnote text"/>
    <w:basedOn w:val="Normal"/>
    <w:link w:val="NotedebasdepageCar"/>
    <w:uiPriority w:val="99"/>
    <w:semiHidden/>
    <w:unhideWhenUsed/>
    <w:rsid w:val="00665654"/>
    <w:pPr>
      <w:spacing w:after="0"/>
    </w:pPr>
    <w:rPr>
      <w:sz w:val="20"/>
      <w:szCs w:val="20"/>
    </w:rPr>
  </w:style>
  <w:style w:type="character" w:customStyle="1" w:styleId="NotedebasdepageCar">
    <w:name w:val="Note de bas de page Car"/>
    <w:basedOn w:val="Policepardfaut"/>
    <w:link w:val="Notedebasdepage"/>
    <w:uiPriority w:val="99"/>
    <w:semiHidden/>
    <w:rsid w:val="00665654"/>
    <w:rPr>
      <w:rFonts w:ascii="Times New Roman" w:hAnsi="Times New Roman" w:cs="Times New Roman"/>
      <w:sz w:val="20"/>
      <w:szCs w:val="20"/>
      <w:lang w:eastAsia="fr-FR"/>
    </w:rPr>
  </w:style>
  <w:style w:type="character" w:styleId="Appelnotedebasdep">
    <w:name w:val="footnote reference"/>
    <w:basedOn w:val="Policepardfaut"/>
    <w:uiPriority w:val="99"/>
    <w:semiHidden/>
    <w:unhideWhenUsed/>
    <w:rsid w:val="00665654"/>
    <w:rPr>
      <w:vertAlign w:val="superscript"/>
    </w:rPr>
  </w:style>
  <w:style w:type="paragraph" w:styleId="Textedebulles">
    <w:name w:val="Balloon Text"/>
    <w:basedOn w:val="Normal"/>
    <w:link w:val="TextedebullesCar"/>
    <w:uiPriority w:val="99"/>
    <w:semiHidden/>
    <w:unhideWhenUsed/>
    <w:rsid w:val="00665654"/>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65654"/>
    <w:rPr>
      <w:rFonts w:ascii="Tahoma" w:hAnsi="Tahoma" w:cs="Tahoma"/>
      <w:sz w:val="16"/>
      <w:szCs w:val="16"/>
      <w:lang w:eastAsia="fr-FR"/>
    </w:rPr>
  </w:style>
  <w:style w:type="paragraph" w:styleId="En-tte">
    <w:name w:val="header"/>
    <w:basedOn w:val="Normal"/>
    <w:link w:val="En-tteCar"/>
    <w:uiPriority w:val="99"/>
    <w:unhideWhenUsed/>
    <w:rsid w:val="005618B8"/>
    <w:pPr>
      <w:tabs>
        <w:tab w:val="center" w:pos="4536"/>
        <w:tab w:val="right" w:pos="9072"/>
      </w:tabs>
      <w:spacing w:after="0"/>
    </w:pPr>
  </w:style>
  <w:style w:type="character" w:customStyle="1" w:styleId="En-tteCar">
    <w:name w:val="En-tête Car"/>
    <w:basedOn w:val="Policepardfaut"/>
    <w:link w:val="En-tte"/>
    <w:uiPriority w:val="99"/>
    <w:rsid w:val="005618B8"/>
    <w:rPr>
      <w:rFonts w:ascii="Times New Roman" w:hAnsi="Times New Roman" w:cs="Times New Roman"/>
      <w:sz w:val="24"/>
      <w:szCs w:val="24"/>
      <w:lang w:eastAsia="fr-FR"/>
    </w:rPr>
  </w:style>
  <w:style w:type="paragraph" w:styleId="Pieddepage">
    <w:name w:val="footer"/>
    <w:basedOn w:val="Normal"/>
    <w:link w:val="PieddepageCar"/>
    <w:uiPriority w:val="99"/>
    <w:unhideWhenUsed/>
    <w:rsid w:val="005618B8"/>
    <w:pPr>
      <w:tabs>
        <w:tab w:val="center" w:pos="4536"/>
        <w:tab w:val="right" w:pos="9072"/>
      </w:tabs>
      <w:spacing w:after="0"/>
    </w:pPr>
  </w:style>
  <w:style w:type="character" w:customStyle="1" w:styleId="PieddepageCar">
    <w:name w:val="Pied de page Car"/>
    <w:basedOn w:val="Policepardfaut"/>
    <w:link w:val="Pieddepage"/>
    <w:uiPriority w:val="99"/>
    <w:rsid w:val="005618B8"/>
    <w:rPr>
      <w:rFonts w:ascii="Times New Roman" w:hAnsi="Times New Roman" w:cs="Times New Roman"/>
      <w:sz w:val="24"/>
      <w:szCs w:val="24"/>
      <w:lang w:eastAsia="fr-FR"/>
    </w:rPr>
  </w:style>
  <w:style w:type="character" w:customStyle="1" w:styleId="hps">
    <w:name w:val="hps"/>
    <w:basedOn w:val="Policepardfaut"/>
    <w:rsid w:val="0006090B"/>
  </w:style>
  <w:style w:type="character" w:styleId="Lienhypertexte">
    <w:name w:val="Hyperlink"/>
    <w:basedOn w:val="Policepardfaut"/>
    <w:uiPriority w:val="99"/>
    <w:unhideWhenUsed/>
    <w:rsid w:val="0051377F"/>
    <w:rPr>
      <w:color w:val="0000FF" w:themeColor="hyperlink"/>
      <w:u w:val="single"/>
    </w:rPr>
  </w:style>
  <w:style w:type="character" w:customStyle="1" w:styleId="Titre1Car">
    <w:name w:val="Titre 1 Car"/>
    <w:basedOn w:val="Policepardfaut"/>
    <w:link w:val="Titre1"/>
    <w:uiPriority w:val="9"/>
    <w:rsid w:val="00F50670"/>
    <w:rPr>
      <w:rFonts w:asciiTheme="majorHAnsi" w:eastAsiaTheme="majorEastAsia" w:hAnsiTheme="majorHAnsi" w:cstheme="majorBidi"/>
      <w:b/>
      <w:bCs/>
      <w:color w:val="365F91" w:themeColor="accent1" w:themeShade="BF"/>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23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56151-A766-46B1-813C-2B66616E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9604E2B2.dotm</Template>
  <TotalTime>0</TotalTime>
  <Pages>3</Pages>
  <Words>3957</Words>
  <Characters>21767</Characters>
  <Application>Microsoft Office Word</Application>
  <DocSecurity>4</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25673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CEZAR</dc:creator>
  <cp:lastModifiedBy>Violaine FAUBERT</cp:lastModifiedBy>
  <cp:revision>2</cp:revision>
  <dcterms:created xsi:type="dcterms:W3CDTF">2017-11-27T08:44:00Z</dcterms:created>
  <dcterms:modified xsi:type="dcterms:W3CDTF">2017-11-27T08:44:00Z</dcterms:modified>
</cp:coreProperties>
</file>