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Whole sample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1750-1795, 3 flags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nationality and period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Raking: all variables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Baseline</w:t>
            </w: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[0.099,0.188]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[0.072,0.160]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[0.076,0.190]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[0.058,0.208]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British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[0.046,0.152]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[0.035,0.150]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[0.007,0.194]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[0.015,0.204]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199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Dutch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0.042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0.089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[-0.006,0.091]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[0.006,0.106]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[0.009,0.108]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[0.021,0.157]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French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0.237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[0.102,0.372]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[0.132,0.372]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[0.135,0.374]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Without Observations with outstanding claims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nan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0.128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[0.083,0.175]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[0.050,0.146]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[0.054,0.201]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388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303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not have been paid at all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[0.064,0.153]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[0.034,0.123]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[0.005,0.122]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[0.055,0.205]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have been paid in full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0.136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[0.128,0.230]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[0.103,0.205]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[0.139,0.265]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[0.061,0.212]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Higher cost of hull relative to other outlays (25% instead of 17% in baseline)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[0.098,0.187]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[0.071,0.160]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[0.075,0.189]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[0.057,0.207]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Lower rate of depreciation (10% instead of baseline 25%)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0.137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[0.101,0.191]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[0.074,0.163]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[0.079,0.193]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[0.062,0.212]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not added to any voyages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[0.127,0.218]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[0.094,0.183]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[0.105,0.222]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[0.096,0.249]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added to outlays, even in cases where accounts seem to suggest total outlays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[0.078,0.165]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[0.063,0.152]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[0.067,0.182]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[0.049,0.200]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Value of hull (outgoing/incoming) added to outlays/returns, even in cases where accounts seem to suggest total outlays/returns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0.109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[0.092,0.179]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[0.064,0.149]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[0.067,0.167]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[0.049,0.170]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Both value of hull and cost of insurance added, in cases where accounts seem to suggest total outlays/returns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[0.073,0.157]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[0.057,0.142]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[0.060,0.160]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[0.041,0.162]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374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324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