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Whole sample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1750-1795, 3 flags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nationality and period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all variables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Baseline</w:t>
            </w: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[0.099,0.188]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[0.071,0.160]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[0.064,0.202]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British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[0.045,0.151]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[0.033,0.148]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[0.006,0.193]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[0.015,0.200]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Dutch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[-0.006,0.091]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[0.006,0.106]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[0.009,0.108]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[0.018,0.149]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French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[0.109,0.373]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Without Observations with outstanding claims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[0.085,0.178]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[0.053,0.147]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[0.060,0.241]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[0.069,0.204]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not have been paid at all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[0.065,0.154]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[0.034,0.123]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[0.012,0.127]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[0.064,0.200]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have been paid in full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[0.127,0.229]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[0.101,0.204]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[0.138,0.262]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[0.064,0.203]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Higher cost of hull relative to other outlays (25% instead of 17% in baseline)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[0.098,0.187]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[0.070,0.159]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[0.077,0.190]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[0.063,0.201]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Lower rate of depreciation (10% instead of baseline 25%)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[0.101,0.191]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[0.074,0.162]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[0.082,0.194]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[0.067,0.205]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not added to any voyages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[0.127,0.218]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[0.094,0.182]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[0.107,0.222]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[0.100,0.241]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added to outlays, even in cases where accounts seem to suggest total outlays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[0.078,0.165]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[0.062,0.151]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[0.069,0.182]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[0.054,0.193]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Value of hull (outgoing/incoming) added to outlays/returns, even in cases where accounts seem to suggest total outlays/returns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[0.092,0.179]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[0.064,0.148]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[0.070,0.169]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[0.055,0.168]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Both value of hull and cost of insurance added, in cases where accounts seem to suggest total outlays/returns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[0.073,0.157]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[0.056,0.141]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[0.062,0.162]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[0.046,0.161]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