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Whole sample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1750-1795, 3 flags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nationality and period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all variables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Baseline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[0.099,0.188]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[0.071,0.160]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[0.085,0.178]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[0.082,0.187]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British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[0.045,0.151]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[0.033,0.148]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[0.033,0.147]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[0.024,0.141]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Dutch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[-0.006,0.091]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[0.006,0.106]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[0.009,0.108]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[0.018,0.150]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French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[0.109,0.373]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[0.132,0.373]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Without Observations with outstanding claims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[0.085,0.178]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[0.053,0.147]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[0.056,0.144]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[0.034,0.190]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not have been paid at all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[0.065,0.154]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[0.034,0.123]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[0.043,0.139]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[0.081,0.186]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have been paid in full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[0.127,0.229]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[0.101,0.204]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[0.122,0.222]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[0.082,0.189]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Higher cost of hull relative to other outlays (25% instead of 17% in baseline)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[0.098,0.187]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[0.070,0.159]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[0.084,0.177]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[0.080,0.186]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Lower rate of depreciation (10% instead of baseline 25%)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0.138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[0.101,0.191]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[0.074,0.162]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[0.087,0.181]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[0.085,0.191]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not added to any voyages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0.167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[0.127,0.218]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[0.094,0.182]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[0.110,0.205]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[0.113,0.221]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added to outlays, even in cases where accounts seem to suggest total outlays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[0.078,0.165]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[0.062,0.151]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[0.074,0.169]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[0.068,0.175]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Value of hull (outgoing/incoming) added to outlays/returns, even in cases where accounts seem to suggest total outlays/returns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[0.092,0.179]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[0.064,0.148]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[0.077,0.164]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[0.072,0.168]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Both value of hull and cost of insurance added, in cases where accounts seem to suggest total outlays/returns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[0.073,0.157]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[0.056,0.141]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[0.068,0.156]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[0.060,0.158]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