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tbl>
      <w:tblPr>
        <w:tblStyle w:val="TableGrid"/>
      </w:tblPr>
      <w:tblGrid>
        <w:gridCol w:w="3120"/>
        <w:gridCol w:w="3120"/>
        <w:gridCol w:w="3120"/>
      </w:tblGrid>
      <w:tr>
        <w:tc>
          <w:tcPr>
            <w:tcW w:w="3120" w:type="dxa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6240" w:type="dxa"/>
            <w:gridSpan w:val="2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group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TSTD-suport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sample</w:t>
            </w:r>
          </w:p>
        </w:tc>
      </w:tr>
      <w:tr>
        <w:tc>
          <w:tcPr>
            <w:tcW w:w="3120" w:type="dxa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Number of embarked enslaved persons per ton</w:t>
            </w:r>
          </w:p>
        </w:tc>
        <w:tc>
          <w:tcPr>
            <w:tcW w:w="3120" w:type="dxa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312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1.52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1.36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1.43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1.28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0.77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0.58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6,406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328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Enslaved person mortality rate during Middle Passage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0.12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0.12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0.11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0.09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0.09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7,874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367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Number of disembarked enslaved persons per ton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1.32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1.18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1.25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1.08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0.66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0.50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6,307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327</w:t>
            </w: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vt="http://schemas.openxmlformats.org/officeDocument/2006/docPropsVTypes" xmlns:properties="http://schemas.openxmlformats.org/officeDocument/2006/extended-properti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