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744" w:type="dxa"/>
            <w:gridSpan w:val="2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Our sample</w:t>
            </w:r>
          </w:p>
        </w:tc>
        <w:tc>
          <w:tcPr>
            <w:tcW w:w="3744" w:type="dxa"/>
            <w:gridSpan w:val="2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Whole TSTD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Frequency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Percent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Frequency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Percent</w:t>
            </w:r>
          </w:p>
        </w:tc>
      </w:tr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Great Britain</w:t>
            </w: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238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53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11,797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Netherlands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1,606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France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4,141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Spain / Uruguay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1,911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Denmark / Baltic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408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Portugal / Brazil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11,363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USA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2,275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Other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33,517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