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Whole sample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1750-1795, 3 flags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nationality and period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all variables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Baseline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[0.099,0.188]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[0.071,0.160]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[0.078,0.191]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[0.064,0.202]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British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0.108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[0.045,0.151]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[0.033,0.148]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[0.006,0.193]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[0.015,0.200]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Dutch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[-0.006,0.091]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[0.006,0.106]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[0.009,0.108]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[0.018,0.149]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French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[0.109,0.373]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[0.135,0.372]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[0.135,0.374]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Without Observations with outstanding claims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0.137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[0.085,0.178]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[0.053,0.147]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[0.060,0.241]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[0.069,0.204]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not have been paid at all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[0.065,0.154]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[0.034,0.123]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[0.012,0.127]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[0.064,0.200]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have been paid in full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[0.127,0.229]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[0.101,0.204]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[0.138,0.262]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[0.064,0.203]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Higher cost of hull relative to other outlays (25% instead of 17% in baseline)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[0.098,0.187]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[0.070,0.159]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[0.077,0.190]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[0.063,0.201]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Lower rate of depreciation (10% instead of baseline 25%)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0.136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[0.101,0.191]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[0.074,0.162]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[0.082,0.194]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[0.067,0.205]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not added to any voyages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[0.127,0.218]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[0.094,0.182]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[0.107,0.222]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[0.100,0.241]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added to outlays, even in cases where accounts seem to suggest total outlays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[0.078,0.165]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[0.062,0.151]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[0.069,0.182]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[0.054,0.193]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Value of hull (outgoing/incoming) added to outlays/returns, even in cases where accounts seem to suggest total outlays/returns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[0.092,0.179]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[0.064,0.148]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[0.070,0.169]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[0.055,0.168]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Both value of hull and cost of insurance added, in cases where accounts seem to suggest total outlays/returns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[0.073,0.157]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[0.056,0.141]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[0.062,0.162]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[0.046,0.161]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