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Whole sample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1750-1795, 3 flags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 and period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all variables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Baseline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[0.100,0.188]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[0.069,0.158]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[0.076,0.193]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[0.061,0.211]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British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[0.049,0.154]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[0.038,0.152]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[0.010,0.195]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[0.019,0.206]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Dutch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[0.006,0.106]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[0.009,0.108]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[0.021,0.157]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French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[0.077,0.385]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[0.119,0.386]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[0.120,0.389]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Without Observations with outstanding claims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[0.083,0.175]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[0.048,0.144]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[-0.111,0.520]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[0.057,0.204]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not have been paid at all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[0.065,0.153]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[0.033,0.123]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[0.003,0.123]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[0.057,0.207]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have been paid in full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[0.128,0.230]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[0.099,0.202]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[0.141,0.271]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[0.065,0.214]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Higher cost of hull relative to other outlays (25% instead of 17% in baseline)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[0.098,0.187]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[0.068,0.158]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[0.075,0.192]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[0.060,0.209]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rate of depreciation (10% instead of baseline 25%)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[0.102,0.190]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[0.072,0.161]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[0.079,0.196]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[0.065,0.214]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not added to any voyages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[0.128,0.217]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[0.092,0.182]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[0.105,0.224]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[0.099,0.252]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[0.078,0.165]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[0.060,0.150]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[0.067,0.184]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[0.052,0.202]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[0.092,0.179]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[0.061,0.146]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[0.067,0.170]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[0.052,0.173]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Both value of hull and cost of insurance added,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[0.073,0.157]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[0.053,0.139]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[0.059,0.163]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[0.044,0.166]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