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Whole sample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1750-1795, 3 flags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nationality and period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all variables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Baseline</w:t>
            </w: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[0.099,0.188]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[0.071,0.160]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[0.075,0.189]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[0.058,0.208]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British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[0.045,0.151]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[0.033,0.148]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[0.006,0.193]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[0.015,0.204]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199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Dutch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0.089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[-0.006,0.091]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[0.006,0.106]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[0.009,0.108]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[0.021,0.157]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French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[0.109,0.373]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[0.135,0.372]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[0.135,0.374]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Without Observations with outstanding claims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[0.085,0.178]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[0.053,0.147]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[-0.111,0.520]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[0.061,0.206]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not have been paid at all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0.131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[0.065,0.154]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[0.034,0.123]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[0.006,0.122]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[0.057,0.206]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have been paid in full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0.135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[0.127,0.229]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[0.101,0.204]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[0.137,0.264]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[0.059,0.211]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Higher cost of hull relative to other outlays (25% instead of 17% in baseline)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[0.098,0.187]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[0.070,0.159]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[0.074,0.188]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[0.057,0.207]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Lower rate of depreciation (10% instead of baseline 25%)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0.137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[0.101,0.191]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[0.074,0.162]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[0.078,0.193]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[0.062,0.212]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not added to any voyages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[0.127,0.218]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[0.094,0.182]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[0.104,0.221]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[0.096,0.249]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added to outlays, even in cases where accounts seem to suggest total outlays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[0.078,0.165]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[0.062,0.151]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[0.066,0.181]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[0.049,0.200]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Value of hull (outgoing/incoming) added to outlays/returns, even in cases where accounts seem to suggest total outlays/returns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0.109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[0.092,0.179]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[0.064,0.148]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[0.067,0.166]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[0.049,0.170]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Both value of hull and cost of insurance added, in cases where accounts seem to suggest total outlays/returns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[0.073,0.157]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[0.056,0.141]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[0.059,0.159]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[0.041,0.162]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