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gridSpan w:val="13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Profits under various hypotheses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2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Danish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Dutch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Spanish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Hypothesis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Baseline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Observations with outstanding claims excluded from analysis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Claims outstanding assumed to not have been paid at all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Claims outstanding assumed to have been paid in full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Higher cost of hull relative to other outlays (25% instead of 17% in baseline)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Cost of insurance not added to any voyages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Cost of insurance added to outlays, even in cases where accounts seem to suggest total outlays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Value of hull (outgoing/incoming) added to outlays/returns, even in cases where accounts seem to suggest total outlays/returns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Both value of hull and cost of insurance added, in cases where accounts seem to suggest total outlays/returns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