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gridSpan w:val="13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Profits under various hypotheses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2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Danish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Dutch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Spanish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Hypothesis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Baseline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First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Observations with outstanding claims excluded from analysis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First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Claims outstanding assumed to not have been paid at all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Claims outstanding assumed to have been paid in full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Higher cost of hull relative to other outlays (25% instead of 17% in baseline)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Cost of insurance not added to any voyages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Cost of insurance added to outlays, even in cases where accounts seem to suggest total outlays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Value of hull (outgoing/incoming) added to outlays/returns, even in cases where accounts seem to suggest total outlays/returns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2.205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2.205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-0.394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Both value of hull and cost of insurance added, in cases where accounts seem to suggest total outlays/returns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