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gridSpan w:val="13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Profits under various hypotheses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12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2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Danish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Dutch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English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French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Spanish</w:t>
            </w:r>
          </w:p>
        </w:tc>
        <w:tc>
          <w:tcPr>
            <w:tcW w:w="0" w:type="auto"/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Hypothesis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Baseline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Observations with outstanding claims excluded from analysis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-0.336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Claims outstanding assumed to not have been paid at all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-0.093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-0.232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Claims outstanding assumed to have been paid in full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0.230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0.184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Higher cost of hull relative to other outlays (25% instead of 17% in baseline)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Cost of insurance not added to any voyages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1.188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Cost of insurance added to outlays, even in cases where accounts seem to suggest total outlays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0.483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-0.290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Value of hull (outgoing/incoming) added to outlays/returns, even in cases where accounts seem to suggest total outlays/returns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0.075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0.693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Both value of hull and cost of insurance added, in cases where accounts seem to suggest total outlays/returns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***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Upper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Lower bound of CI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-0.285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