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Profits under various hypotheses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12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Dutch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English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French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Hypothesis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Baseline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First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Observations with outstanding claims excluded from analysis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First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-0.336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-0.456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Claims outstanding assumed to not have been paid at all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Claims outstanding assumed to have been paid in full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Higher cost of hull relative to other outlays (25% instead of 17% in baseline)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Cost of insurance not added to any voyages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Cost of insurance added to outlays, even in cases where accounts seem to suggest total outlays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Value of hull (outgoing/incoming) added to outlays/returns, even in cases where accounts seem to suggest total outlays/returns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-0.394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Both value of hull and cost of insurance added, in cases where accounts seem to suggest total outlays/returns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-0.454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