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Prosjektplan – Prosjekt Abacus (Utvidet versjon)</w:t>
      </w:r>
    </w:p>
    <w:p>
      <w:r>
        <w:t>Kunde: NordKraft Energi</w:t>
        <w:br/>
        <w:t>Dato: Uke 2</w:t>
        <w:br/>
        <w:t>Versjon: 2.0</w:t>
        <w:br/>
      </w:r>
    </w:p>
    <w:p>
      <w:pPr>
        <w:pStyle w:val="Heading2"/>
      </w:pPr>
      <w:r>
        <w:t>1. Gjennomføringsmodell og Arbeidsprinsipper</w:t>
      </w:r>
    </w:p>
    <w:p>
      <w:r>
        <w:t xml:space="preserve">Prosjektet følger en smidig iterativ leveransemodell strukturert i 2‑ukers sprintsykluser. </w:t>
        <w:br/>
        <w:t xml:space="preserve">Modellen sikrer hyppige inspeksjonspunkter, rom for læring, og en kontinuerlig utvikling av </w:t>
        <w:br/>
        <w:t xml:space="preserve">felles forståelse. Hver sprint avsluttes med en demonstrasjon av fremdrift og innsikt, ikke </w:t>
        <w:br/>
        <w:t>en ferdig funksjon. Dette understøtter prosjektets kjerneprinsipp:</w:t>
        <w:br/>
        <w:br/>
        <w:t>• Vis tidlig – lær sammen – juster ofte</w:t>
        <w:br/>
        <w:t>• Minimér antagelser, maksimer validerte observasjoner</w:t>
        <w:br/>
        <w:t>• Kommuniser usikkerhet eksplisitt, ikke implisitt</w:t>
        <w:br/>
        <w:t>• Ikke bygg bredde før retning er etablert</w:t>
        <w:br/>
      </w:r>
    </w:p>
    <w:p>
      <w:pPr>
        <w:pStyle w:val="Heading2"/>
      </w:pPr>
      <w:r>
        <w:t>2. Sprintplan og Milepæler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Fokusområde</w:t>
            </w:r>
          </w:p>
        </w:tc>
        <w:tc>
          <w:tcPr>
            <w:tcW w:type="dxa" w:w="2880"/>
          </w:tcPr>
          <w:p>
            <w:r>
              <w:t>Primære leveranser</w:t>
            </w:r>
          </w:p>
        </w:tc>
      </w:tr>
      <w:tr>
        <w:tc>
          <w:tcPr>
            <w:tcW w:type="dxa" w:w="2880"/>
          </w:tcPr>
          <w:p>
            <w:r>
              <w:t>Sprint 1 (Uke 1–2)</w:t>
            </w:r>
          </w:p>
        </w:tc>
        <w:tc>
          <w:tcPr>
            <w:tcW w:type="dxa" w:w="2880"/>
          </w:tcPr>
          <w:p>
            <w:r>
              <w:t>Kartlegging &amp; begrepsharmonisering</w:t>
            </w:r>
          </w:p>
        </w:tc>
        <w:tc>
          <w:tcPr>
            <w:tcW w:type="dxa" w:w="2880"/>
          </w:tcPr>
          <w:p>
            <w:r>
              <w:t>Interessentkart, begrepsdokument, workshoppanel</w:t>
            </w:r>
          </w:p>
        </w:tc>
      </w:tr>
      <w:tr>
        <w:tc>
          <w:tcPr>
            <w:tcW w:type="dxa" w:w="2880"/>
          </w:tcPr>
          <w:p>
            <w:r>
              <w:t>Sprint 2 (Uke 3–4)</w:t>
            </w:r>
          </w:p>
        </w:tc>
        <w:tc>
          <w:tcPr>
            <w:tcW w:type="dxa" w:w="2880"/>
          </w:tcPr>
          <w:p>
            <w:r>
              <w:t>Rammeverk + datatilgang</w:t>
            </w:r>
          </w:p>
        </w:tc>
        <w:tc>
          <w:tcPr>
            <w:tcW w:type="dxa" w:w="2880"/>
          </w:tcPr>
          <w:p>
            <w:r>
              <w:t>Datastrukturkart, første rå visualisering</w:t>
            </w:r>
          </w:p>
        </w:tc>
      </w:tr>
      <w:tr>
        <w:tc>
          <w:tcPr>
            <w:tcW w:type="dxa" w:w="2880"/>
          </w:tcPr>
          <w:p>
            <w:r>
              <w:t>Sprint 3 (Uke 5–6)</w:t>
            </w:r>
          </w:p>
        </w:tc>
        <w:tc>
          <w:tcPr>
            <w:tcW w:type="dxa" w:w="2880"/>
          </w:tcPr>
          <w:p>
            <w:r>
              <w:t>Prototyping &amp; intern demo</w:t>
            </w:r>
          </w:p>
        </w:tc>
        <w:tc>
          <w:tcPr>
            <w:tcW w:type="dxa" w:w="2880"/>
          </w:tcPr>
          <w:p>
            <w:r>
              <w:t>Demo Uke 6 + historiefortelling/kommunikasjonsnotat</w:t>
            </w:r>
          </w:p>
        </w:tc>
      </w:tr>
      <w:tr>
        <w:tc>
          <w:tcPr>
            <w:tcW w:type="dxa" w:w="2880"/>
          </w:tcPr>
          <w:p>
            <w:r>
              <w:t>Sprint 4 (Uke 7–8)</w:t>
            </w:r>
          </w:p>
        </w:tc>
        <w:tc>
          <w:tcPr>
            <w:tcW w:type="dxa" w:w="2880"/>
          </w:tcPr>
          <w:p>
            <w:r>
              <w:t>Modelljustering &amp; usikkerhetsvisualisering</w:t>
            </w:r>
          </w:p>
        </w:tc>
        <w:tc>
          <w:tcPr>
            <w:tcW w:type="dxa" w:w="2880"/>
          </w:tcPr>
          <w:p>
            <w:r>
              <w:t>Feilhåndteringsstrategi, intervallmodell</w:t>
            </w:r>
          </w:p>
        </w:tc>
      </w:tr>
      <w:tr>
        <w:tc>
          <w:tcPr>
            <w:tcW w:type="dxa" w:w="2880"/>
          </w:tcPr>
          <w:p>
            <w:r>
              <w:t>Sprint 5 (Uke 9–10)</w:t>
            </w:r>
          </w:p>
        </w:tc>
        <w:tc>
          <w:tcPr>
            <w:tcW w:type="dxa" w:w="2880"/>
          </w:tcPr>
          <w:p>
            <w:r>
              <w:t>Teamobservasjon &amp; bruksmåter</w:t>
            </w:r>
          </w:p>
        </w:tc>
        <w:tc>
          <w:tcPr>
            <w:tcW w:type="dxa" w:w="2880"/>
          </w:tcPr>
          <w:p>
            <w:r>
              <w:t>Interaksjonslogg, adferdsobservasjoner</w:t>
            </w:r>
          </w:p>
        </w:tc>
      </w:tr>
      <w:tr>
        <w:tc>
          <w:tcPr>
            <w:tcW w:type="dxa" w:w="2880"/>
          </w:tcPr>
          <w:p>
            <w:r>
              <w:t>Sprint 6 (Uke 11–12)</w:t>
            </w:r>
          </w:p>
        </w:tc>
        <w:tc>
          <w:tcPr>
            <w:tcW w:type="dxa" w:w="2880"/>
          </w:tcPr>
          <w:p>
            <w:r>
              <w:t>Forankring &amp; prosessintegrasjon</w:t>
            </w:r>
          </w:p>
        </w:tc>
        <w:tc>
          <w:tcPr>
            <w:tcW w:type="dxa" w:w="2880"/>
          </w:tcPr>
          <w:p>
            <w:r>
              <w:t>Prosesstøtte manual, opplæringsmateriell</w:t>
            </w:r>
          </w:p>
        </w:tc>
      </w:tr>
      <w:tr>
        <w:tc>
          <w:tcPr>
            <w:tcW w:type="dxa" w:w="2880"/>
          </w:tcPr>
          <w:p>
            <w:r>
              <w:t>Sprint 7 (Uke 13–14)</w:t>
            </w:r>
          </w:p>
        </w:tc>
        <w:tc>
          <w:tcPr>
            <w:tcW w:type="dxa" w:w="2880"/>
          </w:tcPr>
          <w:p>
            <w:r>
              <w:t>Overlevering &amp; driftssetting</w:t>
            </w:r>
          </w:p>
        </w:tc>
        <w:tc>
          <w:tcPr>
            <w:tcW w:type="dxa" w:w="2880"/>
          </w:tcPr>
          <w:p>
            <w:r>
              <w:t>Driftshåndbok, linjeintegrasjonssamtaler</w:t>
            </w:r>
          </w:p>
        </w:tc>
      </w:tr>
    </w:tbl>
    <w:p>
      <w:pPr>
        <w:pStyle w:val="Heading2"/>
      </w:pPr>
      <w:r>
        <w:t>3. Arbeidspakker (WBS)</w:t>
      </w:r>
    </w:p>
    <w:p>
      <w:r>
        <w:t>Arbeidspakke 1 – Innsikt og rammeverk</w:t>
        <w:br/>
        <w:t>• Interessentintervjuer</w:t>
        <w:br/>
        <w:t>• Begrepsharmonisering</w:t>
        <w:br/>
        <w:t>• Kartlegging av beslutningsarenaer</w:t>
        <w:br/>
        <w:br/>
        <w:t>Arbeidspakke 2 – Modell og datagrunnlag</w:t>
        <w:br/>
        <w:t>• Identifisering av datakilder</w:t>
        <w:br/>
        <w:t>• Vurdering av datakvalitet</w:t>
        <w:br/>
        <w:t>• Etablering av scenariostruktur</w:t>
        <w:br/>
        <w:br/>
        <w:t>Arbeidspakke 3 – Prototyping og visualisering</w:t>
        <w:br/>
        <w:t>• UI‑skisser</w:t>
        <w:br/>
        <w:t>• Dashboard-logikk</w:t>
        <w:br/>
        <w:t>• Iterative demonstrasjoner</w:t>
        <w:br/>
        <w:br/>
        <w:t>Arbeidspakke 4 – Endringsledelse og forankring</w:t>
        <w:br/>
        <w:t>• Læringsworkshops</w:t>
        <w:br/>
        <w:t>• Dokumentasjon og opplæring</w:t>
        <w:br/>
        <w:t>• Overleveringsplan til linje</w:t>
        <w:br/>
      </w:r>
    </w:p>
    <w:p>
      <w:pPr>
        <w:pStyle w:val="Heading2"/>
      </w:pPr>
      <w:r>
        <w:t>4. Interessent- og Kommunikasjonsplan</w:t>
      </w:r>
    </w:p>
    <w:p>
      <w:r>
        <w:t>Kommunikasjon differensieres etter målgruppe og modenhet. Fokus er trygghet, ikke entusiasme.</w:t>
        <w:br/>
        <w:t>Kommunikasjon skjer primært gjennom:</w:t>
        <w:br/>
        <w:t>• Sprint-demoer</w:t>
        <w:br/>
        <w:t>• Refleksjonsmøter</w:t>
        <w:br/>
        <w:t>• Statusmeldinger til styringsgruppen</w:t>
        <w:br/>
      </w:r>
    </w:p>
    <w:p>
      <w:pPr>
        <w:pStyle w:val="Heading2"/>
      </w:pPr>
      <w:r>
        <w:t>5. Risiko- og Tiltaksmatrise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Konsekvens</w:t>
            </w:r>
          </w:p>
        </w:tc>
        <w:tc>
          <w:tcPr>
            <w:tcW w:type="dxa" w:w="2880"/>
          </w:tcPr>
          <w:p>
            <w:r>
              <w:t>Tiltak</w:t>
            </w:r>
          </w:p>
        </w:tc>
      </w:tr>
      <w:tr>
        <w:tc>
          <w:tcPr>
            <w:tcW w:type="dxa" w:w="2880"/>
          </w:tcPr>
          <w:p>
            <w:r>
              <w:t>Overforventning til første versjon</w:t>
            </w:r>
          </w:p>
        </w:tc>
        <w:tc>
          <w:tcPr>
            <w:tcW w:type="dxa" w:w="2880"/>
          </w:tcPr>
          <w:p>
            <w:r>
              <w:t>Skuffelse og tillitstap</w:t>
            </w:r>
          </w:p>
        </w:tc>
        <w:tc>
          <w:tcPr>
            <w:tcW w:type="dxa" w:w="2880"/>
          </w:tcPr>
          <w:p>
            <w:r>
              <w:t>Bruk forventningsspråk og repetert narrativ</w:t>
            </w:r>
          </w:p>
        </w:tc>
      </w:tr>
      <w:tr>
        <w:tc>
          <w:tcPr>
            <w:tcW w:type="dxa" w:w="2880"/>
          </w:tcPr>
          <w:p>
            <w:r>
              <w:t>Datakvalitet uklar</w:t>
            </w:r>
          </w:p>
        </w:tc>
        <w:tc>
          <w:tcPr>
            <w:tcW w:type="dxa" w:w="2880"/>
          </w:tcPr>
          <w:p>
            <w:r>
              <w:t>Feil tolkning av innsikt</w:t>
            </w:r>
          </w:p>
        </w:tc>
        <w:tc>
          <w:tcPr>
            <w:tcW w:type="dxa" w:w="2880"/>
          </w:tcPr>
          <w:p>
            <w:r>
              <w:t>Synliggjør usikkerhet eksplisitt i dashboard</w:t>
            </w:r>
          </w:p>
        </w:tc>
      </w:tr>
      <w:tr>
        <w:tc>
          <w:tcPr>
            <w:tcW w:type="dxa" w:w="2880"/>
          </w:tcPr>
          <w:p>
            <w:r>
              <w:t>Ressursbelastning i linjen</w:t>
            </w:r>
          </w:p>
        </w:tc>
        <w:tc>
          <w:tcPr>
            <w:tcW w:type="dxa" w:w="2880"/>
          </w:tcPr>
          <w:p>
            <w:r>
              <w:t>Forsinkelse og prioriteringskonflikter</w:t>
            </w:r>
          </w:p>
        </w:tc>
        <w:tc>
          <w:tcPr>
            <w:tcW w:type="dxa" w:w="2880"/>
          </w:tcPr>
          <w:p>
            <w:r>
              <w:t>Forankre ressursvalg tidlig hos ledere</w:t>
            </w:r>
          </w:p>
        </w:tc>
      </w:tr>
      <w:tr>
        <w:tc>
          <w:tcPr>
            <w:tcW w:type="dxa" w:w="2880"/>
          </w:tcPr>
          <w:p>
            <w:r>
              <w:t>Manglende forståelse av modellen</w:t>
            </w:r>
          </w:p>
        </w:tc>
        <w:tc>
          <w:tcPr>
            <w:tcW w:type="dxa" w:w="2880"/>
          </w:tcPr>
          <w:p>
            <w:r>
              <w:t>Motstand og misbruk av innsikt</w:t>
            </w:r>
          </w:p>
        </w:tc>
        <w:tc>
          <w:tcPr>
            <w:tcW w:type="dxa" w:w="2880"/>
          </w:tcPr>
          <w:p>
            <w:r>
              <w:t>Gjennomfør læringsworkshops og språkutvikling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60E9C7-A786-402F-8CB4-3C1B7C4DA506}"/>
</file>

<file path=customXml/itemProps3.xml><?xml version="1.0" encoding="utf-8"?>
<ds:datastoreItem xmlns:ds="http://schemas.openxmlformats.org/officeDocument/2006/customXml" ds:itemID="{70E6B08E-E482-4527-A9CE-32A099E17560}"/>
</file>

<file path=customXml/itemProps4.xml><?xml version="1.0" encoding="utf-8"?>
<ds:datastoreItem xmlns:ds="http://schemas.openxmlformats.org/officeDocument/2006/customXml" ds:itemID="{9404DB76-B9A0-426B-843A-15B1444359E5}"/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4" name="docLang">
    <vt:lpwstr>nb</vt:lpwstr>
  </property>
  <property fmtid="{D5CDD505-2E9C-101B-9397-08002B2CF9AE}" pid="5" name="MediaServiceImageTags">
    <vt:lpwstr/>
  </property>
</Properties>
</file>